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b/>
          <w:sz w:val="30"/>
          <w:szCs w:val="30"/>
        </w:rPr>
      </w:pPr>
      <w:r>
        <w:rPr>
          <w:rFonts w:hint="eastAsia" w:ascii="仿宋_GB2312" w:hAnsi="仿宋_GB2312" w:eastAsia="仿宋_GB2312" w:cs="仿宋_GB2312"/>
          <w:b/>
          <w:sz w:val="30"/>
          <w:szCs w:val="30"/>
        </w:rPr>
        <w:t>附件1：</w:t>
      </w:r>
    </w:p>
    <w:p>
      <w:pPr>
        <w:jc w:val="center"/>
        <w:rPr>
          <w:rFonts w:ascii="仿宋_GB2312" w:hAnsi="仿宋_GB2312" w:eastAsia="仿宋_GB2312" w:cs="仿宋_GB2312"/>
          <w:sz w:val="30"/>
          <w:szCs w:val="30"/>
        </w:rPr>
      </w:pPr>
      <w:r>
        <w:rPr>
          <w:rFonts w:hint="eastAsia" w:ascii="仿宋_GB2312" w:hAnsi="仿宋_GB2312" w:eastAsia="仿宋_GB2312" w:cs="仿宋_GB2312"/>
          <w:b/>
          <w:sz w:val="30"/>
          <w:szCs w:val="30"/>
        </w:rPr>
        <w:t>兵马俑专用线公路改扩建工程</w:t>
      </w:r>
    </w:p>
    <w:p>
      <w:pPr>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t>设计施工总承包招标文件关键内容公示</w:t>
      </w:r>
    </w:p>
    <w:p>
      <w:pPr>
        <w:tabs>
          <w:tab w:val="left" w:pos="1778"/>
        </w:tabs>
        <w:spacing w:line="520" w:lineRule="exact"/>
        <w:ind w:firstLine="562" w:firstLineChars="200"/>
        <w:outlineLvl w:val="1"/>
        <w:rPr>
          <w:rFonts w:ascii="仿宋" w:hAnsi="仿宋" w:eastAsia="仿宋" w:cs="仿宋"/>
          <w:b/>
          <w:sz w:val="28"/>
          <w:szCs w:val="28"/>
        </w:rPr>
      </w:pPr>
      <w:r>
        <w:rPr>
          <w:rFonts w:hint="eastAsia" w:ascii="仿宋" w:hAnsi="仿宋" w:eastAsia="仿宋" w:cs="仿宋"/>
          <w:b/>
          <w:sz w:val="28"/>
          <w:szCs w:val="28"/>
        </w:rPr>
        <w:t>一、项目概况</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兵马俑专用线公路改扩建工程（以下简称“本项目”），路线起点位于连霍高速现有兵马俑收费站西侧，向东沿现有兵马佣二级专用公路加宽改扩建，终点位于胡家寨，设连接线与秦唐大道相接，并设支线与兵马俑专用线旧路相接，路线全长6.15公里。同步建设连接线0.89公里、支线0.82公里。</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本项目采用设计速度100Km/h的双向四车道高速公路技术标准，路基宽度26m。新建及拼接桥梁荷载采用公路—Ⅰ级，桥涵设计洪水频率：1/100。按照项目区基本烈度Ⅷ度进行抗震设计，其余各项技术指标执行《公路工程技术标准》（JTG B01-2014）。终点连接线采用设计速度60Km/h的双向六车道一级公路技术标准，路基宽度26m；支线采用设计速度40Km/h的二级公路技术标准，路基宽度12m。</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全线拆除重建大桥137米/1座、小桥98米/3座，新建中桥26米/1座；改造即有兵马俑立交1处，新建临潼北互通立交1处，新建分离式立交1处（半幅下穿铁路通道1座），改移兵马俑收费站，估算总投资8.51亿元。</w:t>
      </w:r>
    </w:p>
    <w:p>
      <w:pPr>
        <w:tabs>
          <w:tab w:val="left" w:pos="1778"/>
        </w:tabs>
        <w:spacing w:line="520" w:lineRule="exact"/>
        <w:ind w:firstLine="562" w:firstLineChars="200"/>
        <w:outlineLvl w:val="1"/>
        <w:rPr>
          <w:rFonts w:ascii="仿宋" w:hAnsi="仿宋" w:eastAsia="仿宋" w:cs="仿宋"/>
          <w:b/>
          <w:sz w:val="28"/>
          <w:szCs w:val="28"/>
        </w:rPr>
      </w:pPr>
      <w:r>
        <w:rPr>
          <w:rFonts w:hint="eastAsia" w:ascii="仿宋" w:hAnsi="仿宋" w:eastAsia="仿宋" w:cs="仿宋"/>
          <w:b/>
          <w:sz w:val="28"/>
          <w:szCs w:val="28"/>
        </w:rPr>
        <w:t>二、投标人资格要求</w:t>
      </w:r>
    </w:p>
    <w:p>
      <w:pPr>
        <w:spacing w:line="520" w:lineRule="exact"/>
        <w:ind w:firstLine="640" w:firstLineChars="200"/>
        <w:jc w:val="left"/>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资格审查条件</w:t>
      </w:r>
    </w:p>
    <w:p>
      <w:pPr>
        <w:spacing w:line="520" w:lineRule="exact"/>
        <w:ind w:firstLine="560" w:firstLineChars="200"/>
        <w:rPr>
          <w:rFonts w:ascii="仿宋" w:hAnsi="仿宋" w:eastAsia="仿宋"/>
          <w:sz w:val="28"/>
          <w:szCs w:val="28"/>
        </w:rPr>
      </w:pPr>
      <w:r>
        <w:rPr>
          <w:sz w:val="28"/>
          <w:szCs w:val="28"/>
        </w:rPr>
        <w:t>本</w:t>
      </w:r>
      <w:r>
        <w:rPr>
          <w:rFonts w:ascii="仿宋" w:hAnsi="仿宋" w:eastAsia="仿宋"/>
          <w:sz w:val="28"/>
          <w:szCs w:val="28"/>
        </w:rPr>
        <w:t>次招标要求投标人满足下列各项资格审查条件，并在人员、设备、资金等方面具有相应</w:t>
      </w:r>
      <w:r>
        <w:rPr>
          <w:rFonts w:hint="eastAsia" w:ascii="仿宋" w:hAnsi="仿宋" w:eastAsia="仿宋"/>
          <w:sz w:val="28"/>
          <w:szCs w:val="28"/>
        </w:rPr>
        <w:t>设计、施工</w:t>
      </w:r>
      <w:r>
        <w:rPr>
          <w:rFonts w:ascii="仿宋" w:hAnsi="仿宋" w:eastAsia="仿宋"/>
          <w:sz w:val="28"/>
          <w:szCs w:val="28"/>
        </w:rPr>
        <w:t>能力。</w:t>
      </w:r>
    </w:p>
    <w:p>
      <w:pPr>
        <w:spacing w:line="520" w:lineRule="exact"/>
        <w:ind w:firstLine="640" w:firstLineChars="200"/>
        <w:jc w:val="left"/>
        <w:rPr>
          <w:rFonts w:ascii="仿宋" w:hAnsi="仿宋" w:eastAsia="仿宋"/>
          <w:sz w:val="32"/>
          <w:szCs w:val="32"/>
        </w:rPr>
      </w:pPr>
      <w:r>
        <w:rPr>
          <w:rFonts w:hint="eastAsia" w:ascii="仿宋" w:hAnsi="仿宋" w:eastAsia="仿宋"/>
          <w:sz w:val="32"/>
          <w:szCs w:val="32"/>
        </w:rPr>
        <w:t>（1）资质最低要求</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8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205" w:type="dxa"/>
            <w:vAlign w:val="center"/>
          </w:tcPr>
          <w:p>
            <w:pPr>
              <w:tabs>
                <w:tab w:val="left" w:pos="1778"/>
              </w:tabs>
              <w:jc w:val="center"/>
              <w:rPr>
                <w:rFonts w:ascii="仿宋" w:hAnsi="仿宋" w:eastAsia="仿宋" w:cs="仿宋_GB2312"/>
                <w:b/>
                <w:szCs w:val="21"/>
              </w:rPr>
            </w:pPr>
            <w:r>
              <w:rPr>
                <w:rFonts w:hint="eastAsia" w:ascii="仿宋" w:hAnsi="仿宋" w:eastAsia="仿宋" w:cs="仿宋_GB2312"/>
                <w:b/>
                <w:kern w:val="0"/>
                <w:szCs w:val="21"/>
              </w:rPr>
              <w:t>标段</w:t>
            </w:r>
          </w:p>
        </w:tc>
        <w:tc>
          <w:tcPr>
            <w:tcW w:w="8008" w:type="dxa"/>
            <w:vAlign w:val="center"/>
          </w:tcPr>
          <w:p>
            <w:pPr>
              <w:tabs>
                <w:tab w:val="left" w:pos="1778"/>
              </w:tabs>
              <w:jc w:val="center"/>
              <w:rPr>
                <w:rFonts w:ascii="仿宋" w:hAnsi="仿宋" w:eastAsia="仿宋" w:cs="仿宋_GB2312"/>
                <w:b/>
                <w:szCs w:val="21"/>
              </w:rPr>
            </w:pPr>
            <w:r>
              <w:rPr>
                <w:rFonts w:hint="eastAsia" w:ascii="仿宋" w:hAnsi="仿宋" w:eastAsia="仿宋" w:cs="仿宋_GB2312"/>
                <w:b/>
                <w:szCs w:val="21"/>
              </w:rPr>
              <w:t>资  质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05" w:type="dxa"/>
            <w:vAlign w:val="center"/>
          </w:tcPr>
          <w:p>
            <w:pPr>
              <w:tabs>
                <w:tab w:val="left" w:pos="1778"/>
              </w:tabs>
              <w:jc w:val="center"/>
              <w:rPr>
                <w:rFonts w:ascii="仿宋" w:hAnsi="仿宋" w:eastAsia="仿宋" w:cs="仿宋_GB2312"/>
                <w:szCs w:val="21"/>
              </w:rPr>
            </w:pPr>
            <w:r>
              <w:rPr>
                <w:rFonts w:hint="eastAsia" w:ascii="仿宋" w:hAnsi="仿宋" w:eastAsia="仿宋" w:cs="仿宋_GB2312"/>
                <w:szCs w:val="21"/>
              </w:rPr>
              <w:t>BMY-01</w:t>
            </w:r>
          </w:p>
        </w:tc>
        <w:tc>
          <w:tcPr>
            <w:tcW w:w="8008" w:type="dxa"/>
            <w:vAlign w:val="center"/>
          </w:tcPr>
          <w:p>
            <w:pPr>
              <w:rPr>
                <w:rFonts w:ascii="仿宋" w:hAnsi="仿宋" w:eastAsia="仿宋" w:cs="仿宋_GB2312"/>
                <w:b/>
                <w:bCs/>
                <w:szCs w:val="21"/>
              </w:rPr>
            </w:pPr>
            <w:r>
              <w:rPr>
                <w:rFonts w:hint="eastAsia" w:ascii="仿宋" w:hAnsi="仿宋" w:eastAsia="仿宋" w:cs="仿宋_GB2312"/>
                <w:b/>
                <w:bCs/>
                <w:szCs w:val="21"/>
              </w:rPr>
              <w:t>一、投标人独立投标的，须满足以下要求：</w:t>
            </w:r>
          </w:p>
          <w:p>
            <w:pPr>
              <w:ind w:firstLine="210" w:firstLineChars="100"/>
              <w:rPr>
                <w:rFonts w:ascii="仿宋" w:hAnsi="仿宋" w:eastAsia="仿宋" w:cs="仿宋_GB2312"/>
                <w:szCs w:val="21"/>
              </w:rPr>
            </w:pPr>
            <w:r>
              <w:rPr>
                <w:rFonts w:hint="eastAsia" w:ascii="仿宋" w:hAnsi="仿宋" w:eastAsia="仿宋" w:cs="仿宋_GB2312"/>
                <w:szCs w:val="21"/>
              </w:rPr>
              <w:t>1.具有独立法人资格；</w:t>
            </w:r>
          </w:p>
          <w:p>
            <w:pPr>
              <w:ind w:firstLine="210" w:firstLineChars="100"/>
              <w:rPr>
                <w:rFonts w:ascii="仿宋" w:hAnsi="仿宋" w:eastAsia="仿宋" w:cs="仿宋_GB2312"/>
                <w:szCs w:val="21"/>
              </w:rPr>
            </w:pPr>
            <w:r>
              <w:rPr>
                <w:rFonts w:hint="eastAsia" w:ascii="仿宋" w:hAnsi="仿宋" w:eastAsia="仿宋" w:cs="仿宋_GB2312"/>
                <w:szCs w:val="21"/>
              </w:rPr>
              <w:t>2.具备有效的企业安全生产许可证；</w:t>
            </w:r>
          </w:p>
          <w:p>
            <w:pPr>
              <w:ind w:firstLine="210" w:firstLineChars="100"/>
              <w:rPr>
                <w:rFonts w:ascii="仿宋" w:hAnsi="仿宋" w:eastAsia="仿宋" w:cs="仿宋_GB2312"/>
                <w:szCs w:val="21"/>
              </w:rPr>
            </w:pPr>
            <w:r>
              <w:rPr>
                <w:rFonts w:hint="eastAsia" w:ascii="仿宋" w:hAnsi="仿宋" w:eastAsia="仿宋" w:cs="仿宋_GB2312"/>
                <w:szCs w:val="21"/>
              </w:rPr>
              <w:t>3.具备工程勘察综合资质甲级；</w:t>
            </w:r>
          </w:p>
          <w:p>
            <w:pPr>
              <w:ind w:firstLine="210" w:firstLineChars="100"/>
              <w:rPr>
                <w:rFonts w:ascii="仿宋" w:hAnsi="仿宋" w:eastAsia="仿宋" w:cs="仿宋_GB2312"/>
                <w:szCs w:val="21"/>
              </w:rPr>
            </w:pPr>
            <w:r>
              <w:rPr>
                <w:rFonts w:hint="eastAsia" w:ascii="仿宋" w:hAnsi="仿宋" w:eastAsia="仿宋" w:cs="仿宋_GB2312"/>
                <w:szCs w:val="21"/>
              </w:rPr>
              <w:t>4.具备以下（1）、（2）、（3）项设计资质之一：</w:t>
            </w:r>
          </w:p>
          <w:p>
            <w:pPr>
              <w:ind w:left="210" w:leftChars="100"/>
              <w:rPr>
                <w:rFonts w:ascii="仿宋" w:hAnsi="仿宋" w:eastAsia="仿宋" w:cs="仿宋_GB2312"/>
                <w:szCs w:val="21"/>
              </w:rPr>
            </w:pPr>
            <w:r>
              <w:rPr>
                <w:rFonts w:hint="eastAsia" w:ascii="仿宋" w:hAnsi="仿宋" w:eastAsia="仿宋" w:cs="仿宋_GB2312"/>
                <w:szCs w:val="21"/>
              </w:rPr>
              <w:t>（1）具备工程设计综合资质甲级；</w:t>
            </w:r>
          </w:p>
          <w:p>
            <w:pPr>
              <w:ind w:left="210" w:leftChars="100"/>
              <w:rPr>
                <w:rFonts w:ascii="仿宋" w:hAnsi="仿宋" w:eastAsia="仿宋" w:cs="仿宋_GB2312"/>
                <w:szCs w:val="21"/>
              </w:rPr>
            </w:pPr>
            <w:r>
              <w:rPr>
                <w:rFonts w:hint="eastAsia" w:ascii="仿宋" w:hAnsi="仿宋" w:eastAsia="仿宋" w:cs="仿宋_GB2312"/>
                <w:szCs w:val="21"/>
              </w:rPr>
              <w:t>（2）具备公路行业甲级资质，并具有工程设计建筑行业乙级（含）以上资质或工程设计建筑行业（建筑工程）专业乙级（含）以上资质。</w:t>
            </w:r>
          </w:p>
          <w:p>
            <w:pPr>
              <w:ind w:firstLine="210" w:firstLineChars="100"/>
              <w:rPr>
                <w:rFonts w:ascii="仿宋" w:hAnsi="仿宋" w:eastAsia="仿宋" w:cs="仿宋_GB2312"/>
                <w:szCs w:val="21"/>
              </w:rPr>
            </w:pPr>
            <w:r>
              <w:rPr>
                <w:rFonts w:hint="eastAsia" w:ascii="仿宋" w:hAnsi="仿宋" w:eastAsia="仿宋" w:cs="仿宋_GB2312"/>
                <w:szCs w:val="21"/>
              </w:rPr>
              <w:t>（3）具备公路行业（公路、特大桥梁、交通工程）专业甲级资质，并具有工程设计建筑行业乙级（含）以上资质或工程设计建筑行业（建筑工程）专业乙级（含）以上资质。</w:t>
            </w:r>
          </w:p>
          <w:p>
            <w:pPr>
              <w:ind w:firstLine="210" w:firstLineChars="100"/>
              <w:rPr>
                <w:rFonts w:ascii="仿宋" w:hAnsi="仿宋" w:eastAsia="仿宋" w:cs="仿宋_GB2312"/>
                <w:szCs w:val="21"/>
              </w:rPr>
            </w:pPr>
            <w:r>
              <w:rPr>
                <w:rFonts w:hint="eastAsia" w:ascii="仿宋" w:hAnsi="仿宋" w:eastAsia="仿宋" w:cs="仿宋_GB2312"/>
                <w:szCs w:val="21"/>
              </w:rPr>
              <w:t>5.具备公路工程施工总承包一级（含）以上资质；</w:t>
            </w:r>
          </w:p>
          <w:p>
            <w:pPr>
              <w:ind w:firstLine="210" w:firstLineChars="100"/>
              <w:rPr>
                <w:rFonts w:ascii="仿宋" w:hAnsi="仿宋" w:eastAsia="仿宋" w:cs="仿宋_GB2312"/>
                <w:szCs w:val="21"/>
              </w:rPr>
            </w:pPr>
            <w:r>
              <w:rPr>
                <w:rFonts w:hint="eastAsia" w:ascii="仿宋" w:hAnsi="仿宋" w:eastAsia="仿宋" w:cs="仿宋_GB2312"/>
                <w:szCs w:val="21"/>
              </w:rPr>
              <w:t>6.具备桥梁工程专业承包一级资质；</w:t>
            </w:r>
          </w:p>
          <w:p>
            <w:pPr>
              <w:ind w:firstLine="210" w:firstLineChars="100"/>
              <w:rPr>
                <w:rFonts w:ascii="仿宋" w:hAnsi="仿宋" w:eastAsia="仿宋" w:cs="仿宋_GB2312"/>
                <w:szCs w:val="21"/>
              </w:rPr>
            </w:pPr>
            <w:r>
              <w:rPr>
                <w:rFonts w:hint="eastAsia" w:ascii="仿宋" w:hAnsi="仿宋" w:eastAsia="仿宋" w:cs="仿宋_GB2312"/>
                <w:szCs w:val="21"/>
              </w:rPr>
              <w:t>7.具备公路路面工程专业承包一级资质；</w:t>
            </w:r>
          </w:p>
          <w:p>
            <w:pPr>
              <w:ind w:firstLine="210" w:firstLineChars="100"/>
              <w:rPr>
                <w:rFonts w:ascii="仿宋" w:hAnsi="仿宋" w:eastAsia="仿宋" w:cs="仿宋_GB2312"/>
                <w:szCs w:val="21"/>
              </w:rPr>
            </w:pPr>
            <w:r>
              <w:rPr>
                <w:rFonts w:hint="eastAsia" w:ascii="仿宋" w:hAnsi="仿宋" w:eastAsia="仿宋" w:cs="仿宋_GB2312"/>
                <w:szCs w:val="21"/>
              </w:rPr>
              <w:t>8.具备公路交通工程（公路安全设施分项）专业承包一级资质；</w:t>
            </w:r>
          </w:p>
          <w:p>
            <w:pPr>
              <w:ind w:firstLine="210" w:firstLineChars="100"/>
              <w:rPr>
                <w:rFonts w:ascii="仿宋" w:hAnsi="仿宋" w:eastAsia="仿宋" w:cs="仿宋_GB2312"/>
                <w:szCs w:val="21"/>
              </w:rPr>
            </w:pPr>
            <w:r>
              <w:rPr>
                <w:rFonts w:hint="eastAsia" w:ascii="仿宋" w:hAnsi="仿宋" w:eastAsia="仿宋" w:cs="仿宋_GB2312"/>
                <w:szCs w:val="21"/>
              </w:rPr>
              <w:t>9.具备公路交通工程（公路机电工程分项）专业承包一级资质；</w:t>
            </w:r>
          </w:p>
          <w:p>
            <w:pPr>
              <w:ind w:firstLine="210" w:firstLineChars="100"/>
              <w:rPr>
                <w:rFonts w:ascii="仿宋" w:hAnsi="仿宋" w:eastAsia="仿宋" w:cs="仿宋_GB2312"/>
                <w:szCs w:val="21"/>
              </w:rPr>
            </w:pPr>
            <w:r>
              <w:rPr>
                <w:rFonts w:hint="eastAsia" w:ascii="仿宋" w:hAnsi="仿宋" w:eastAsia="仿宋" w:cs="仿宋_GB2312"/>
                <w:szCs w:val="21"/>
              </w:rPr>
              <w:t>10.具备建筑工程施工总承包二级（含）以上资质；</w:t>
            </w:r>
          </w:p>
          <w:p>
            <w:pPr>
              <w:ind w:firstLine="210" w:firstLineChars="100"/>
              <w:rPr>
                <w:rFonts w:ascii="仿宋" w:hAnsi="仿宋" w:eastAsia="仿宋" w:cs="仿宋_GB2312"/>
                <w:szCs w:val="21"/>
              </w:rPr>
            </w:pPr>
            <w:r>
              <w:rPr>
                <w:rFonts w:hint="eastAsia" w:ascii="仿宋" w:hAnsi="仿宋" w:eastAsia="仿宋" w:cs="仿宋_GB2312"/>
                <w:szCs w:val="21"/>
              </w:rPr>
              <w:t>11.企业法定代表人持有省级交通运输主管部门核发有效的A类安全生产考核合格证及省级建设主管部门核发有效的A类安全生产考核合格证。</w:t>
            </w:r>
          </w:p>
          <w:p>
            <w:pPr>
              <w:widowControl/>
              <w:rPr>
                <w:rFonts w:ascii="仿宋" w:hAnsi="仿宋" w:eastAsia="仿宋"/>
                <w:b/>
                <w:szCs w:val="21"/>
              </w:rPr>
            </w:pPr>
            <w:r>
              <w:rPr>
                <w:rFonts w:hint="eastAsia" w:ascii="仿宋" w:hAnsi="仿宋" w:eastAsia="仿宋"/>
                <w:b/>
                <w:szCs w:val="21"/>
              </w:rPr>
              <w:t>二、投标人以联合体形式投标的</w:t>
            </w:r>
          </w:p>
          <w:p>
            <w:pPr>
              <w:widowControl/>
              <w:rPr>
                <w:rFonts w:ascii="仿宋" w:hAnsi="仿宋" w:eastAsia="仿宋"/>
                <w:b/>
                <w:szCs w:val="21"/>
              </w:rPr>
            </w:pPr>
            <w:r>
              <w:rPr>
                <w:rFonts w:hint="eastAsia" w:ascii="仿宋" w:hAnsi="仿宋" w:eastAsia="仿宋"/>
                <w:b/>
                <w:szCs w:val="21"/>
              </w:rPr>
              <w:t>1.承担施工图勘察设计专业分工的联合体成员，须满足以下要求：</w:t>
            </w:r>
          </w:p>
          <w:p>
            <w:pPr>
              <w:ind w:firstLine="210" w:firstLineChars="100"/>
              <w:rPr>
                <w:rFonts w:ascii="仿宋" w:hAnsi="仿宋" w:eastAsia="仿宋" w:cs="仿宋_GB2312"/>
                <w:szCs w:val="21"/>
              </w:rPr>
            </w:pPr>
            <w:r>
              <w:rPr>
                <w:rFonts w:hint="eastAsia" w:ascii="仿宋" w:hAnsi="仿宋" w:eastAsia="仿宋" w:cs="仿宋_GB2312"/>
                <w:szCs w:val="21"/>
              </w:rPr>
              <w:t>（1）具有独立法人资格；</w:t>
            </w:r>
          </w:p>
          <w:p>
            <w:pPr>
              <w:ind w:firstLine="210" w:firstLineChars="100"/>
              <w:rPr>
                <w:rFonts w:ascii="仿宋" w:hAnsi="仿宋" w:eastAsia="仿宋" w:cs="仿宋_GB2312"/>
                <w:szCs w:val="21"/>
              </w:rPr>
            </w:pPr>
            <w:r>
              <w:rPr>
                <w:rFonts w:hint="eastAsia" w:ascii="仿宋" w:hAnsi="仿宋" w:eastAsia="仿宋" w:cs="仿宋_GB2312"/>
                <w:szCs w:val="21"/>
              </w:rPr>
              <w:t>（2）具备工程勘察综合资质甲级；</w:t>
            </w:r>
          </w:p>
          <w:p>
            <w:pPr>
              <w:ind w:firstLine="210" w:firstLineChars="100"/>
              <w:rPr>
                <w:rFonts w:ascii="仿宋" w:hAnsi="仿宋" w:eastAsia="仿宋" w:cs="仿宋_GB2312"/>
                <w:szCs w:val="21"/>
              </w:rPr>
            </w:pPr>
            <w:r>
              <w:rPr>
                <w:rFonts w:hint="eastAsia" w:ascii="仿宋" w:hAnsi="仿宋" w:eastAsia="仿宋" w:cs="仿宋_GB2312"/>
                <w:szCs w:val="21"/>
              </w:rPr>
              <w:t>（3）具备以下①、②、③项设计资质之一：</w:t>
            </w:r>
          </w:p>
          <w:p>
            <w:pPr>
              <w:ind w:firstLine="210" w:firstLineChars="100"/>
              <w:rPr>
                <w:rFonts w:ascii="仿宋" w:hAnsi="仿宋" w:eastAsia="仿宋" w:cs="仿宋_GB2312"/>
                <w:szCs w:val="21"/>
              </w:rPr>
            </w:pPr>
            <w:r>
              <w:rPr>
                <w:rFonts w:hint="eastAsia" w:ascii="仿宋" w:hAnsi="仿宋" w:eastAsia="仿宋" w:cs="仿宋_GB2312"/>
                <w:szCs w:val="21"/>
              </w:rPr>
              <w:t>①具备工程设计综合资质甲级；</w:t>
            </w:r>
          </w:p>
          <w:p>
            <w:pPr>
              <w:ind w:firstLine="210" w:firstLineChars="100"/>
              <w:rPr>
                <w:rFonts w:ascii="仿宋" w:hAnsi="仿宋" w:eastAsia="仿宋" w:cs="仿宋_GB2312"/>
                <w:szCs w:val="21"/>
              </w:rPr>
            </w:pPr>
            <w:r>
              <w:rPr>
                <w:rFonts w:hint="eastAsia" w:ascii="仿宋" w:hAnsi="仿宋" w:eastAsia="仿宋" w:cs="仿宋_GB2312"/>
                <w:szCs w:val="21"/>
              </w:rPr>
              <w:t>②具备公路行业甲级资质，并具有工程设计建筑行业乙级（含）以上资质或工程设计建筑行业（建筑工程）专业乙级（含）以上资质。</w:t>
            </w:r>
          </w:p>
          <w:p>
            <w:pPr>
              <w:ind w:firstLine="210" w:firstLineChars="100"/>
              <w:rPr>
                <w:rFonts w:ascii="仿宋" w:hAnsi="仿宋" w:eastAsia="仿宋" w:cs="仿宋_GB2312"/>
                <w:szCs w:val="21"/>
              </w:rPr>
            </w:pPr>
            <w:r>
              <w:rPr>
                <w:rFonts w:hint="eastAsia" w:ascii="仿宋" w:hAnsi="仿宋" w:eastAsia="仿宋" w:cs="仿宋_GB2312"/>
                <w:szCs w:val="21"/>
              </w:rPr>
              <w:t>③具备公路行业（公路、特大桥梁、交通工程）专业甲级资质，并具有工程设计建筑行业乙级（含）以上资质或工程设计建筑行业（建筑工程）专业乙级（含）以上资质。</w:t>
            </w:r>
          </w:p>
          <w:p>
            <w:pPr>
              <w:widowControl/>
              <w:rPr>
                <w:rFonts w:ascii="仿宋" w:hAnsi="仿宋" w:eastAsia="仿宋"/>
                <w:b/>
                <w:szCs w:val="21"/>
              </w:rPr>
            </w:pPr>
            <w:r>
              <w:rPr>
                <w:rFonts w:hint="eastAsia" w:ascii="仿宋" w:hAnsi="仿宋" w:eastAsia="仿宋"/>
                <w:b/>
                <w:szCs w:val="21"/>
              </w:rPr>
              <w:t>2.承担主体工程施工专业分工的联合体成员，须满足以下要求：</w:t>
            </w:r>
          </w:p>
          <w:p>
            <w:pPr>
              <w:ind w:firstLine="210" w:firstLineChars="100"/>
              <w:rPr>
                <w:rFonts w:ascii="仿宋" w:hAnsi="仿宋" w:eastAsia="仿宋" w:cs="仿宋_GB2312"/>
                <w:szCs w:val="21"/>
              </w:rPr>
            </w:pPr>
            <w:r>
              <w:rPr>
                <w:rFonts w:hint="eastAsia" w:ascii="仿宋" w:hAnsi="仿宋" w:eastAsia="仿宋" w:cs="仿宋_GB2312"/>
                <w:szCs w:val="21"/>
              </w:rPr>
              <w:t>（1）具有独立法人资格；</w:t>
            </w:r>
          </w:p>
          <w:p>
            <w:pPr>
              <w:ind w:firstLine="210" w:firstLineChars="100"/>
              <w:rPr>
                <w:rFonts w:ascii="仿宋" w:hAnsi="仿宋" w:eastAsia="仿宋" w:cs="仿宋_GB2312"/>
                <w:szCs w:val="21"/>
              </w:rPr>
            </w:pPr>
            <w:r>
              <w:rPr>
                <w:rFonts w:hint="eastAsia" w:ascii="仿宋" w:hAnsi="仿宋" w:eastAsia="仿宋" w:cs="仿宋_GB2312"/>
                <w:szCs w:val="21"/>
              </w:rPr>
              <w:t>（2）具备有效的企业安全生产许可证；</w:t>
            </w:r>
          </w:p>
          <w:p>
            <w:pPr>
              <w:ind w:firstLine="210" w:firstLineChars="100"/>
              <w:rPr>
                <w:rFonts w:ascii="仿宋" w:hAnsi="仿宋" w:eastAsia="仿宋" w:cs="仿宋_GB2312"/>
                <w:szCs w:val="21"/>
              </w:rPr>
            </w:pPr>
            <w:r>
              <w:rPr>
                <w:rFonts w:hint="eastAsia" w:ascii="仿宋" w:hAnsi="仿宋" w:eastAsia="仿宋" w:cs="仿宋_GB2312"/>
                <w:szCs w:val="21"/>
              </w:rPr>
              <w:t>（3）具备公路工程施工总承包一级（含）以上资质；</w:t>
            </w:r>
          </w:p>
          <w:p>
            <w:pPr>
              <w:ind w:firstLine="210" w:firstLineChars="100"/>
              <w:rPr>
                <w:rFonts w:ascii="仿宋" w:hAnsi="仿宋" w:eastAsia="仿宋" w:cs="仿宋_GB2312"/>
                <w:szCs w:val="21"/>
              </w:rPr>
            </w:pPr>
            <w:r>
              <w:rPr>
                <w:rFonts w:hint="eastAsia" w:ascii="仿宋" w:hAnsi="仿宋" w:eastAsia="仿宋" w:cs="仿宋_GB2312"/>
                <w:szCs w:val="21"/>
              </w:rPr>
              <w:t>（4）具备桥梁工程专业承包一级资质；</w:t>
            </w:r>
          </w:p>
          <w:p>
            <w:pPr>
              <w:ind w:firstLine="210" w:firstLineChars="100"/>
              <w:rPr>
                <w:rFonts w:ascii="仿宋" w:hAnsi="仿宋" w:eastAsia="仿宋" w:cs="仿宋_GB2312"/>
                <w:szCs w:val="21"/>
              </w:rPr>
            </w:pPr>
            <w:r>
              <w:rPr>
                <w:rFonts w:hint="eastAsia" w:ascii="仿宋" w:hAnsi="仿宋" w:eastAsia="仿宋" w:cs="仿宋_GB2312"/>
                <w:szCs w:val="21"/>
              </w:rPr>
              <w:t>（5）具备公路路面工程专业承包一级资质；</w:t>
            </w:r>
          </w:p>
          <w:p>
            <w:pPr>
              <w:ind w:firstLine="210" w:firstLineChars="100"/>
              <w:rPr>
                <w:rFonts w:ascii="仿宋" w:hAnsi="仿宋" w:eastAsia="仿宋" w:cs="仿宋_GB2312"/>
                <w:szCs w:val="21"/>
              </w:rPr>
            </w:pPr>
            <w:r>
              <w:rPr>
                <w:rFonts w:hint="eastAsia" w:ascii="仿宋" w:hAnsi="仿宋" w:eastAsia="仿宋" w:cs="仿宋_GB2312"/>
                <w:szCs w:val="21"/>
              </w:rPr>
              <w:t>（6）企业法定代表人持有省级交通运输主管部门核发有效的A类安全生产考核合格证。</w:t>
            </w:r>
          </w:p>
          <w:p>
            <w:pPr>
              <w:widowControl/>
              <w:rPr>
                <w:rFonts w:ascii="仿宋" w:hAnsi="仿宋" w:eastAsia="仿宋"/>
                <w:b/>
                <w:szCs w:val="21"/>
              </w:rPr>
            </w:pPr>
            <w:r>
              <w:rPr>
                <w:rFonts w:hint="eastAsia" w:ascii="仿宋" w:hAnsi="仿宋" w:eastAsia="仿宋"/>
                <w:b/>
                <w:szCs w:val="21"/>
              </w:rPr>
              <w:t>3.承担交通安全设施施工专业分工的联合体成员，须满足以下要求：</w:t>
            </w:r>
          </w:p>
          <w:p>
            <w:pPr>
              <w:ind w:firstLine="210" w:firstLineChars="100"/>
              <w:rPr>
                <w:rFonts w:ascii="仿宋" w:hAnsi="仿宋" w:eastAsia="仿宋" w:cs="仿宋_GB2312"/>
                <w:szCs w:val="21"/>
              </w:rPr>
            </w:pPr>
            <w:r>
              <w:rPr>
                <w:rFonts w:hint="eastAsia" w:ascii="仿宋" w:hAnsi="仿宋" w:eastAsia="仿宋" w:cs="仿宋_GB2312"/>
                <w:szCs w:val="21"/>
              </w:rPr>
              <w:t>（1）具有独立法人资格；</w:t>
            </w:r>
          </w:p>
          <w:p>
            <w:pPr>
              <w:ind w:firstLine="210" w:firstLineChars="100"/>
              <w:rPr>
                <w:rFonts w:ascii="仿宋" w:hAnsi="仿宋" w:eastAsia="仿宋" w:cs="仿宋_GB2312"/>
                <w:szCs w:val="21"/>
              </w:rPr>
            </w:pPr>
            <w:r>
              <w:rPr>
                <w:rFonts w:hint="eastAsia" w:ascii="仿宋" w:hAnsi="仿宋" w:eastAsia="仿宋" w:cs="仿宋_GB2312"/>
                <w:szCs w:val="21"/>
              </w:rPr>
              <w:t>（2）具备有效的企业安全生产许可证；</w:t>
            </w:r>
          </w:p>
          <w:p>
            <w:pPr>
              <w:ind w:firstLine="210" w:firstLineChars="100"/>
              <w:rPr>
                <w:rFonts w:ascii="仿宋" w:hAnsi="仿宋" w:eastAsia="仿宋" w:cs="仿宋_GB2312"/>
                <w:szCs w:val="21"/>
              </w:rPr>
            </w:pPr>
            <w:r>
              <w:rPr>
                <w:rFonts w:hint="eastAsia" w:ascii="仿宋" w:hAnsi="仿宋" w:eastAsia="仿宋" w:cs="仿宋_GB2312"/>
                <w:szCs w:val="21"/>
              </w:rPr>
              <w:t>（3）具备公路交通工程（公路安全设施分项）专业承包一级资质；</w:t>
            </w:r>
          </w:p>
          <w:p>
            <w:pPr>
              <w:ind w:firstLine="210" w:firstLineChars="100"/>
              <w:rPr>
                <w:rFonts w:ascii="仿宋" w:hAnsi="仿宋" w:eastAsia="仿宋" w:cs="仿宋_GB2312"/>
                <w:szCs w:val="21"/>
              </w:rPr>
            </w:pPr>
            <w:r>
              <w:rPr>
                <w:rFonts w:hint="eastAsia" w:ascii="仿宋" w:hAnsi="仿宋" w:eastAsia="仿宋" w:cs="仿宋_GB2312"/>
                <w:szCs w:val="21"/>
              </w:rPr>
              <w:t>（4）企业法定代表人持有省级交通运输主管部门核发有效的A类安全生产考核合格证。</w:t>
            </w:r>
          </w:p>
          <w:p>
            <w:pPr>
              <w:widowControl/>
              <w:rPr>
                <w:rFonts w:ascii="仿宋" w:hAnsi="仿宋" w:eastAsia="仿宋"/>
                <w:b/>
                <w:szCs w:val="21"/>
              </w:rPr>
            </w:pPr>
            <w:r>
              <w:rPr>
                <w:rFonts w:hint="eastAsia" w:ascii="仿宋" w:hAnsi="仿宋" w:eastAsia="仿宋"/>
                <w:b/>
                <w:szCs w:val="21"/>
              </w:rPr>
              <w:t>4.承担机电工程施工专业分工的联合体成员，须满足以下要求：</w:t>
            </w:r>
          </w:p>
          <w:p>
            <w:pPr>
              <w:ind w:firstLine="210" w:firstLineChars="100"/>
              <w:rPr>
                <w:rFonts w:ascii="仿宋" w:hAnsi="仿宋" w:eastAsia="仿宋" w:cs="仿宋_GB2312"/>
                <w:szCs w:val="21"/>
              </w:rPr>
            </w:pPr>
            <w:r>
              <w:rPr>
                <w:rFonts w:hint="eastAsia" w:ascii="仿宋" w:hAnsi="仿宋" w:eastAsia="仿宋" w:cs="仿宋_GB2312"/>
                <w:szCs w:val="21"/>
              </w:rPr>
              <w:t>（1）具有独立法人资格；</w:t>
            </w:r>
          </w:p>
          <w:p>
            <w:pPr>
              <w:ind w:firstLine="210" w:firstLineChars="100"/>
              <w:rPr>
                <w:rFonts w:ascii="仿宋" w:hAnsi="仿宋" w:eastAsia="仿宋" w:cs="仿宋_GB2312"/>
                <w:szCs w:val="21"/>
              </w:rPr>
            </w:pPr>
            <w:r>
              <w:rPr>
                <w:rFonts w:hint="eastAsia" w:ascii="仿宋" w:hAnsi="仿宋" w:eastAsia="仿宋" w:cs="仿宋_GB2312"/>
                <w:szCs w:val="21"/>
              </w:rPr>
              <w:t>（2）具备有效的企业安全生产许可证；</w:t>
            </w:r>
          </w:p>
          <w:p>
            <w:pPr>
              <w:ind w:firstLine="210" w:firstLineChars="100"/>
              <w:rPr>
                <w:rFonts w:ascii="仿宋" w:hAnsi="仿宋" w:eastAsia="仿宋" w:cs="仿宋_GB2312"/>
                <w:szCs w:val="21"/>
              </w:rPr>
            </w:pPr>
            <w:r>
              <w:rPr>
                <w:rFonts w:hint="eastAsia" w:ascii="仿宋" w:hAnsi="仿宋" w:eastAsia="仿宋" w:cs="仿宋_GB2312"/>
                <w:szCs w:val="21"/>
              </w:rPr>
              <w:t>（3）具备公路交通工程（公路机电工程分项）专业承包一级资质；</w:t>
            </w:r>
          </w:p>
          <w:p>
            <w:pPr>
              <w:ind w:firstLine="210" w:firstLineChars="100"/>
              <w:rPr>
                <w:rFonts w:ascii="仿宋" w:hAnsi="仿宋" w:eastAsia="仿宋" w:cs="仿宋_GB2312"/>
                <w:szCs w:val="21"/>
              </w:rPr>
            </w:pPr>
            <w:r>
              <w:rPr>
                <w:rFonts w:hint="eastAsia" w:ascii="仿宋" w:hAnsi="仿宋" w:eastAsia="仿宋" w:cs="仿宋_GB2312"/>
                <w:szCs w:val="21"/>
              </w:rPr>
              <w:t>（4）企业法定代表人持有省级交通运输主管部门核发有效的A类安全生产考核合格证。</w:t>
            </w:r>
          </w:p>
          <w:p>
            <w:pPr>
              <w:widowControl/>
              <w:rPr>
                <w:rFonts w:ascii="仿宋" w:hAnsi="仿宋" w:eastAsia="仿宋"/>
                <w:b/>
                <w:szCs w:val="21"/>
              </w:rPr>
            </w:pPr>
            <w:r>
              <w:rPr>
                <w:rFonts w:hint="eastAsia" w:ascii="仿宋" w:hAnsi="仿宋" w:eastAsia="仿宋"/>
                <w:b/>
                <w:szCs w:val="21"/>
              </w:rPr>
              <w:t>5.承担房建工程施工专业分工的联合体成员，须满足以下要求：</w:t>
            </w:r>
          </w:p>
          <w:p>
            <w:pPr>
              <w:ind w:firstLine="210" w:firstLineChars="100"/>
              <w:rPr>
                <w:rFonts w:ascii="仿宋" w:hAnsi="仿宋" w:eastAsia="仿宋" w:cs="仿宋_GB2312"/>
                <w:szCs w:val="21"/>
              </w:rPr>
            </w:pPr>
            <w:r>
              <w:rPr>
                <w:rFonts w:hint="eastAsia" w:ascii="仿宋" w:hAnsi="仿宋" w:eastAsia="仿宋" w:cs="仿宋_GB2312"/>
                <w:szCs w:val="21"/>
              </w:rPr>
              <w:t>（1）具有独立法人资格；</w:t>
            </w:r>
          </w:p>
          <w:p>
            <w:pPr>
              <w:ind w:firstLine="210" w:firstLineChars="100"/>
              <w:rPr>
                <w:rFonts w:ascii="仿宋" w:hAnsi="仿宋" w:eastAsia="仿宋" w:cs="仿宋_GB2312"/>
                <w:szCs w:val="21"/>
              </w:rPr>
            </w:pPr>
            <w:r>
              <w:rPr>
                <w:rFonts w:hint="eastAsia" w:ascii="仿宋" w:hAnsi="仿宋" w:eastAsia="仿宋" w:cs="仿宋_GB2312"/>
                <w:szCs w:val="21"/>
              </w:rPr>
              <w:t>（2）具备有效的企业安全生产许可证；</w:t>
            </w:r>
          </w:p>
          <w:p>
            <w:pPr>
              <w:ind w:firstLine="210" w:firstLineChars="100"/>
              <w:rPr>
                <w:rFonts w:ascii="仿宋" w:hAnsi="仿宋" w:eastAsia="仿宋" w:cs="仿宋_GB2312"/>
                <w:szCs w:val="21"/>
              </w:rPr>
            </w:pPr>
            <w:r>
              <w:rPr>
                <w:rFonts w:hint="eastAsia" w:ascii="仿宋" w:hAnsi="仿宋" w:eastAsia="仿宋" w:cs="仿宋_GB2312"/>
                <w:szCs w:val="21"/>
              </w:rPr>
              <w:t>（3）具备建筑工程施工总承包二级（含）以上资质；</w:t>
            </w:r>
          </w:p>
          <w:p>
            <w:pPr>
              <w:ind w:firstLine="210" w:firstLineChars="100"/>
              <w:rPr>
                <w:szCs w:val="21"/>
              </w:rPr>
            </w:pPr>
            <w:r>
              <w:rPr>
                <w:rFonts w:hint="eastAsia" w:ascii="仿宋" w:hAnsi="仿宋" w:eastAsia="仿宋" w:cs="仿宋_GB2312"/>
                <w:szCs w:val="21"/>
              </w:rPr>
              <w:t>（4）企业法定代表人持有省级建设主管部门核发有效的A类安全生产考核合格证。</w:t>
            </w:r>
          </w:p>
        </w:tc>
      </w:tr>
    </w:tbl>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（2）业绩最低要求</w:t>
      </w:r>
    </w:p>
    <w:tbl>
      <w:tblPr>
        <w:tblStyle w:val="40"/>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35" w:type="dxa"/>
            <w:vAlign w:val="center"/>
          </w:tcPr>
          <w:p>
            <w:pPr>
              <w:tabs>
                <w:tab w:val="left" w:pos="1778"/>
              </w:tabs>
              <w:jc w:val="center"/>
              <w:rPr>
                <w:rFonts w:ascii="仿宋" w:hAnsi="仿宋" w:eastAsia="仿宋"/>
                <w:b/>
                <w:szCs w:val="21"/>
              </w:rPr>
            </w:pPr>
            <w:r>
              <w:rPr>
                <w:rFonts w:hint="eastAsia" w:ascii="仿宋" w:hAnsi="仿宋" w:eastAsia="仿宋" w:cs="宋体"/>
                <w:b/>
                <w:kern w:val="0"/>
                <w:szCs w:val="21"/>
              </w:rPr>
              <w:t>标段</w:t>
            </w:r>
          </w:p>
        </w:tc>
        <w:tc>
          <w:tcPr>
            <w:tcW w:w="7937" w:type="dxa"/>
            <w:vAlign w:val="center"/>
          </w:tcPr>
          <w:p>
            <w:pPr>
              <w:tabs>
                <w:tab w:val="left" w:pos="1778"/>
              </w:tabs>
              <w:jc w:val="center"/>
              <w:rPr>
                <w:rFonts w:ascii="仿宋" w:hAnsi="仿宋" w:eastAsia="仿宋"/>
                <w:b/>
                <w:szCs w:val="21"/>
              </w:rPr>
            </w:pPr>
            <w:r>
              <w:rPr>
                <w:rFonts w:hint="eastAsia" w:ascii="仿宋" w:hAnsi="仿宋" w:eastAsia="仿宋"/>
                <w:b/>
                <w:szCs w:val="21"/>
              </w:rPr>
              <w:t>业  绩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3" w:hRule="atLeast"/>
          <w:jc w:val="center"/>
        </w:trPr>
        <w:tc>
          <w:tcPr>
            <w:tcW w:w="1135" w:type="dxa"/>
            <w:vAlign w:val="center"/>
          </w:tcPr>
          <w:p>
            <w:pPr>
              <w:jc w:val="center"/>
              <w:rPr>
                <w:rFonts w:ascii="仿宋" w:hAnsi="仿宋" w:eastAsia="仿宋" w:cs="仿宋_GB2312"/>
                <w:szCs w:val="21"/>
              </w:rPr>
            </w:pPr>
            <w:r>
              <w:rPr>
                <w:rFonts w:hint="eastAsia" w:ascii="仿宋" w:hAnsi="仿宋" w:eastAsia="仿宋" w:cs="仿宋_GB2312"/>
                <w:szCs w:val="21"/>
              </w:rPr>
              <w:t>BMY-01</w:t>
            </w:r>
          </w:p>
        </w:tc>
        <w:tc>
          <w:tcPr>
            <w:tcW w:w="7937" w:type="dxa"/>
            <w:vAlign w:val="center"/>
          </w:tcPr>
          <w:p>
            <w:pPr>
              <w:rPr>
                <w:rFonts w:ascii="仿宋" w:hAnsi="仿宋" w:eastAsia="仿宋" w:cs="仿宋_GB2312"/>
                <w:szCs w:val="21"/>
              </w:rPr>
            </w:pPr>
            <w:r>
              <w:rPr>
                <w:rFonts w:hint="eastAsia" w:ascii="仿宋" w:hAnsi="仿宋" w:eastAsia="仿宋" w:cs="仿宋_GB2312"/>
                <w:szCs w:val="21"/>
              </w:rPr>
              <w:t>近五年以来：</w:t>
            </w:r>
          </w:p>
          <w:p>
            <w:pPr>
              <w:pStyle w:val="13"/>
              <w:rPr>
                <w:rFonts w:ascii="仿宋" w:hAnsi="仿宋" w:eastAsia="仿宋" w:cs="仿宋_GB2312"/>
                <w:sz w:val="21"/>
                <w:szCs w:val="21"/>
              </w:rPr>
            </w:pPr>
            <w:r>
              <w:rPr>
                <w:rFonts w:hint="eastAsia" w:ascii="仿宋" w:hAnsi="仿宋" w:eastAsia="仿宋" w:cs="仿宋_GB2312"/>
                <w:sz w:val="21"/>
                <w:szCs w:val="21"/>
              </w:rPr>
              <w:t>1.具有1个已完成的高速公路改扩建项目施工图勘察设计合同段业绩（应同时包括路基桥涵、路面、机电、交通安全设施、房建工程勘察设计内容），且路线里程不少于20km；</w:t>
            </w:r>
          </w:p>
          <w:p>
            <w:pPr>
              <w:pStyle w:val="13"/>
              <w:rPr>
                <w:rFonts w:ascii="仿宋" w:hAnsi="仿宋" w:eastAsia="仿宋" w:cs="仿宋_GB2312"/>
                <w:sz w:val="21"/>
                <w:szCs w:val="21"/>
              </w:rPr>
            </w:pPr>
            <w:r>
              <w:rPr>
                <w:rFonts w:hint="eastAsia" w:ascii="仿宋" w:hAnsi="仿宋" w:eastAsia="仿宋" w:cs="仿宋_GB2312"/>
                <w:sz w:val="21"/>
                <w:szCs w:val="21"/>
              </w:rPr>
              <w:t>2.具有1个已完成的新建或改扩建高速公路工程施工合同段业绩（应同时包括路基桥涵及路面工程施工内容）；</w:t>
            </w:r>
          </w:p>
          <w:p>
            <w:pPr>
              <w:pStyle w:val="13"/>
              <w:rPr>
                <w:rFonts w:ascii="仿宋" w:hAnsi="仿宋" w:eastAsia="仿宋" w:cs="仿宋_GB2312"/>
                <w:sz w:val="21"/>
                <w:szCs w:val="21"/>
              </w:rPr>
            </w:pPr>
            <w:r>
              <w:rPr>
                <w:rFonts w:hint="eastAsia" w:ascii="仿宋" w:hAnsi="仿宋" w:eastAsia="仿宋" w:cs="仿宋_GB2312"/>
                <w:sz w:val="21"/>
                <w:szCs w:val="21"/>
              </w:rPr>
              <w:t>3.具有1个已完成的新建或改扩建高速公路交通安全设施施工合同段（应同时包括钢板护栏、标志、标线工程施工内容）业绩；</w:t>
            </w:r>
          </w:p>
          <w:p>
            <w:pPr>
              <w:pStyle w:val="13"/>
              <w:rPr>
                <w:rFonts w:ascii="仿宋" w:hAnsi="仿宋" w:eastAsia="仿宋" w:cs="仿宋_GB2312"/>
                <w:sz w:val="21"/>
                <w:szCs w:val="21"/>
              </w:rPr>
            </w:pPr>
            <w:r>
              <w:rPr>
                <w:rFonts w:hint="eastAsia" w:ascii="仿宋" w:hAnsi="仿宋" w:eastAsia="仿宋" w:cs="仿宋_GB2312"/>
                <w:sz w:val="21"/>
                <w:szCs w:val="21"/>
              </w:rPr>
              <w:t>4.具有1个已完成的高速公路机电工程施工合同段业绩；</w:t>
            </w:r>
          </w:p>
          <w:p>
            <w:pPr>
              <w:pStyle w:val="13"/>
              <w:rPr>
                <w:rFonts w:ascii="仿宋" w:hAnsi="仿宋" w:eastAsia="仿宋" w:cs="仿宋_GB2312"/>
                <w:sz w:val="21"/>
                <w:szCs w:val="21"/>
              </w:rPr>
            </w:pPr>
            <w:r>
              <w:rPr>
                <w:rFonts w:hint="eastAsia" w:ascii="仿宋" w:hAnsi="仿宋" w:eastAsia="仿宋" w:cs="仿宋_GB2312"/>
                <w:sz w:val="21"/>
                <w:szCs w:val="21"/>
              </w:rPr>
              <w:t>5.具有1个已完成的房屋建筑工程施工合同段业绩；</w:t>
            </w:r>
          </w:p>
          <w:p>
            <w:pPr>
              <w:pStyle w:val="13"/>
              <w:rPr>
                <w:sz w:val="21"/>
                <w:szCs w:val="21"/>
              </w:rPr>
            </w:pPr>
            <w:r>
              <w:rPr>
                <w:rFonts w:hint="eastAsia" w:ascii="仿宋" w:hAnsi="仿宋" w:eastAsia="仿宋" w:cs="仿宋_GB2312"/>
                <w:sz w:val="21"/>
                <w:szCs w:val="21"/>
              </w:rPr>
              <w:t>6.独立投标人或联合体牵头人应具有2个已完成的新建或改扩建高速公路设计施工总承包项目业绩。</w:t>
            </w:r>
          </w:p>
        </w:tc>
      </w:tr>
    </w:tbl>
    <w:p>
      <w:pPr>
        <w:spacing w:line="360" w:lineRule="auto"/>
        <w:ind w:firstLine="422" w:firstLineChars="200"/>
        <w:rPr>
          <w:rFonts w:ascii="仿宋" w:hAnsi="仿宋" w:eastAsia="仿宋" w:cs="仿宋_GB2312"/>
          <w:b/>
          <w:bCs/>
          <w:szCs w:val="21"/>
        </w:rPr>
      </w:pPr>
      <w:r>
        <w:rPr>
          <w:rFonts w:hint="eastAsia" w:ascii="仿宋" w:hAnsi="仿宋" w:eastAsia="仿宋" w:cs="仿宋_GB2312"/>
          <w:b/>
          <w:bCs/>
          <w:szCs w:val="21"/>
        </w:rPr>
        <w:t xml:space="preserve">说明：1.“近五年”指 2017 年 1 月 1 日至投标截止时间，以下相同。 </w:t>
      </w:r>
    </w:p>
    <w:p>
      <w:pPr>
        <w:spacing w:line="360" w:lineRule="auto"/>
        <w:ind w:firstLine="422" w:firstLineChars="200"/>
        <w:rPr>
          <w:rFonts w:ascii="仿宋" w:hAnsi="仿宋" w:eastAsia="仿宋" w:cs="仿宋_GB2312"/>
          <w:b/>
          <w:bCs/>
          <w:szCs w:val="21"/>
        </w:rPr>
      </w:pPr>
      <w:r>
        <w:rPr>
          <w:rFonts w:hint="eastAsia" w:ascii="仿宋" w:hAnsi="仿宋" w:eastAsia="仿宋" w:cs="仿宋_GB2312"/>
          <w:b/>
          <w:bCs/>
          <w:szCs w:val="21"/>
        </w:rPr>
        <w:t xml:space="preserve">2.勘察设计业绩的完成和时间要求以完成施工图批复为准，施工和设计施工总承包业 </w:t>
      </w:r>
    </w:p>
    <w:p>
      <w:pPr>
        <w:spacing w:line="360" w:lineRule="auto"/>
        <w:ind w:firstLine="422" w:firstLineChars="200"/>
        <w:rPr>
          <w:rFonts w:ascii="仿宋" w:hAnsi="仿宋" w:eastAsia="仿宋" w:cs="仿宋_GB2312"/>
          <w:b/>
          <w:bCs/>
          <w:szCs w:val="21"/>
        </w:rPr>
      </w:pPr>
      <w:r>
        <w:rPr>
          <w:rFonts w:hint="eastAsia" w:ascii="仿宋" w:hAnsi="仿宋" w:eastAsia="仿宋" w:cs="仿宋_GB2312"/>
          <w:b/>
          <w:bCs/>
          <w:szCs w:val="21"/>
        </w:rPr>
        <w:t xml:space="preserve">绩的完成和时间要求以交工验收为准，以下相同。 </w:t>
      </w:r>
    </w:p>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（3）财务最低要求</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35"/>
        <w:gridCol w:w="7290"/>
        <w:gridCol w:w="102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035" w:type="dxa"/>
            <w:tcBorders>
              <w:bottom w:val="single" w:color="auto" w:sz="6" w:space="0"/>
            </w:tcBorders>
            <w:vAlign w:val="center"/>
          </w:tcPr>
          <w:p>
            <w:pPr>
              <w:jc w:val="center"/>
              <w:rPr>
                <w:rFonts w:ascii="仿宋" w:hAnsi="仿宋" w:eastAsia="仿宋" w:cs="仿宋_GB2312"/>
                <w:b/>
                <w:bCs/>
                <w:sz w:val="24"/>
              </w:rPr>
            </w:pPr>
            <w:r>
              <w:rPr>
                <w:rFonts w:hint="eastAsia" w:ascii="仿宋" w:hAnsi="仿宋" w:eastAsia="仿宋" w:cs="仿宋_GB2312"/>
                <w:b/>
                <w:bCs/>
                <w:sz w:val="24"/>
              </w:rPr>
              <w:t>标段</w:t>
            </w:r>
          </w:p>
        </w:tc>
        <w:tc>
          <w:tcPr>
            <w:tcW w:w="7290" w:type="dxa"/>
            <w:tcBorders>
              <w:bottom w:val="single" w:color="auto" w:sz="6" w:space="0"/>
              <w:right w:val="single" w:color="auto" w:sz="4" w:space="0"/>
            </w:tcBorders>
            <w:vAlign w:val="center"/>
          </w:tcPr>
          <w:p>
            <w:pPr>
              <w:jc w:val="center"/>
              <w:rPr>
                <w:rFonts w:ascii="仿宋" w:hAnsi="仿宋" w:eastAsia="仿宋" w:cs="仿宋_GB2312"/>
                <w:b/>
                <w:bCs/>
                <w:sz w:val="24"/>
              </w:rPr>
            </w:pPr>
            <w:r>
              <w:rPr>
                <w:rFonts w:hint="eastAsia" w:ascii="仿宋" w:hAnsi="仿宋" w:eastAsia="仿宋" w:cs="仿宋_GB2312"/>
                <w:b/>
                <w:bCs/>
                <w:sz w:val="24"/>
              </w:rPr>
              <w:t>财  务  要  求</w:t>
            </w:r>
          </w:p>
        </w:tc>
        <w:tc>
          <w:tcPr>
            <w:tcW w:w="1029" w:type="dxa"/>
            <w:tcBorders>
              <w:left w:val="single" w:color="auto" w:sz="4" w:space="0"/>
              <w:bottom w:val="single" w:color="auto" w:sz="6" w:space="0"/>
            </w:tcBorders>
            <w:vAlign w:val="center"/>
          </w:tcPr>
          <w:p>
            <w:pPr>
              <w:rPr>
                <w:rFonts w:ascii="仿宋" w:hAnsi="仿宋" w:eastAsia="仿宋" w:cs="仿宋_GB2312"/>
                <w:sz w:val="24"/>
              </w:rPr>
            </w:pPr>
            <w:r>
              <w:rPr>
                <w:rFonts w:hint="eastAsia" w:ascii="仿宋" w:hAnsi="仿宋" w:eastAsia="仿宋" w:cs="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1035" w:type="dxa"/>
            <w:vMerge w:val="restart"/>
            <w:tcBorders>
              <w:top w:val="single" w:color="auto" w:sz="6" w:space="0"/>
            </w:tcBorders>
            <w:vAlign w:val="center"/>
          </w:tcPr>
          <w:p>
            <w:pPr>
              <w:jc w:val="center"/>
              <w:rPr>
                <w:rFonts w:ascii="仿宋" w:hAnsi="仿宋" w:eastAsia="仿宋" w:cs="仿宋_GB2312"/>
                <w:szCs w:val="21"/>
              </w:rPr>
            </w:pPr>
            <w:r>
              <w:rPr>
                <w:rFonts w:hint="eastAsia" w:ascii="仿宋" w:hAnsi="仿宋" w:eastAsia="仿宋" w:cs="仿宋_GB2312"/>
                <w:szCs w:val="21"/>
              </w:rPr>
              <w:t>BMY-01</w:t>
            </w:r>
          </w:p>
        </w:tc>
        <w:tc>
          <w:tcPr>
            <w:tcW w:w="7290" w:type="dxa"/>
            <w:tcBorders>
              <w:top w:val="single" w:color="auto" w:sz="6" w:space="0"/>
              <w:bottom w:val="double" w:color="auto" w:sz="4" w:space="0"/>
              <w:right w:val="single" w:color="auto" w:sz="4" w:space="0"/>
            </w:tcBorders>
            <w:vAlign w:val="center"/>
          </w:tcPr>
          <w:p>
            <w:pPr>
              <w:rPr>
                <w:rFonts w:ascii="仿宋" w:hAnsi="仿宋" w:eastAsia="仿宋" w:cs="仿宋_GB2312"/>
                <w:szCs w:val="21"/>
              </w:rPr>
            </w:pPr>
            <w:r>
              <w:rPr>
                <w:rFonts w:hint="eastAsia" w:ascii="仿宋" w:hAnsi="仿宋" w:eastAsia="仿宋" w:cs="仿宋_GB2312"/>
                <w:szCs w:val="21"/>
              </w:rPr>
              <w:t>2019年、2020年、2021年每年的企业营业额均不少于6亿元；</w:t>
            </w:r>
          </w:p>
          <w:p>
            <w:pPr>
              <w:rPr>
                <w:rFonts w:ascii="仿宋" w:hAnsi="仿宋" w:eastAsia="仿宋" w:cs="仿宋_GB2312"/>
                <w:szCs w:val="21"/>
              </w:rPr>
            </w:pPr>
            <w:r>
              <w:rPr>
                <w:rFonts w:hint="eastAsia" w:ascii="仿宋" w:hAnsi="仿宋" w:eastAsia="仿宋" w:cs="仿宋_GB2312"/>
                <w:szCs w:val="21"/>
              </w:rPr>
              <w:t>2019年、2020年、2021年每年的企业资产负债率均不大于80%。</w:t>
            </w:r>
          </w:p>
        </w:tc>
        <w:tc>
          <w:tcPr>
            <w:tcW w:w="1029" w:type="dxa"/>
            <w:tcBorders>
              <w:top w:val="single" w:color="auto" w:sz="6" w:space="0"/>
              <w:left w:val="single" w:color="auto" w:sz="4" w:space="0"/>
              <w:bottom w:val="double" w:color="auto" w:sz="4" w:space="0"/>
            </w:tcBorders>
            <w:vAlign w:val="center"/>
          </w:tcPr>
          <w:p>
            <w:pPr>
              <w:widowControl/>
              <w:rPr>
                <w:rFonts w:ascii="仿宋" w:hAnsi="仿宋" w:eastAsia="仿宋" w:cs="仿宋_GB2312"/>
                <w:szCs w:val="21"/>
              </w:rPr>
            </w:pPr>
            <w:r>
              <w:rPr>
                <w:rFonts w:hint="eastAsia" w:ascii="仿宋" w:hAnsi="仿宋" w:eastAsia="仿宋" w:cs="仿宋_GB2312"/>
                <w:szCs w:val="21"/>
              </w:rPr>
              <w:t>独立投标的投标人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0" w:hRule="atLeast"/>
          <w:jc w:val="center"/>
        </w:trPr>
        <w:tc>
          <w:tcPr>
            <w:tcW w:w="1035" w:type="dxa"/>
            <w:vMerge w:val="continue"/>
            <w:vAlign w:val="center"/>
          </w:tcPr>
          <w:p>
            <w:pPr>
              <w:rPr>
                <w:rFonts w:ascii="仿宋" w:hAnsi="仿宋" w:eastAsia="仿宋" w:cs="仿宋_GB2312"/>
                <w:szCs w:val="21"/>
              </w:rPr>
            </w:pPr>
          </w:p>
        </w:tc>
        <w:tc>
          <w:tcPr>
            <w:tcW w:w="7290" w:type="dxa"/>
            <w:tcBorders>
              <w:top w:val="double" w:color="auto" w:sz="4" w:space="0"/>
              <w:right w:val="single" w:color="auto" w:sz="4" w:space="0"/>
            </w:tcBorders>
            <w:vAlign w:val="center"/>
          </w:tcPr>
          <w:p>
            <w:pPr>
              <w:rPr>
                <w:rFonts w:ascii="仿宋" w:hAnsi="仿宋" w:eastAsia="仿宋" w:cs="仿宋_GB2312"/>
                <w:szCs w:val="21"/>
              </w:rPr>
            </w:pPr>
            <w:r>
              <w:rPr>
                <w:rFonts w:hint="eastAsia" w:ascii="仿宋" w:hAnsi="仿宋" w:eastAsia="仿宋" w:cs="仿宋_GB2312"/>
                <w:szCs w:val="21"/>
              </w:rPr>
              <w:t>1.承担勘察设计专业分工的联合体成员：</w:t>
            </w:r>
          </w:p>
          <w:p>
            <w:pPr>
              <w:rPr>
                <w:rFonts w:ascii="仿宋" w:hAnsi="仿宋" w:eastAsia="仿宋" w:cs="仿宋_GB2312"/>
                <w:szCs w:val="21"/>
              </w:rPr>
            </w:pPr>
            <w:r>
              <w:rPr>
                <w:rFonts w:hint="eastAsia" w:ascii="仿宋" w:hAnsi="仿宋" w:eastAsia="仿宋" w:cs="仿宋_GB2312"/>
                <w:szCs w:val="21"/>
              </w:rPr>
              <w:t>（1）2019年、2020年、2021年每年的企业营业额均不小于1亿元；</w:t>
            </w:r>
          </w:p>
          <w:p>
            <w:pPr>
              <w:rPr>
                <w:rFonts w:ascii="仿宋" w:hAnsi="仿宋" w:eastAsia="仿宋" w:cs="仿宋_GB2312"/>
                <w:szCs w:val="21"/>
              </w:rPr>
            </w:pPr>
            <w:r>
              <w:rPr>
                <w:rFonts w:hint="eastAsia" w:ascii="仿宋" w:hAnsi="仿宋" w:eastAsia="仿宋" w:cs="仿宋_GB2312"/>
                <w:szCs w:val="21"/>
              </w:rPr>
              <w:t>（2）2019年、2020年、2021年每年的企业资产负债率均不大于80%。</w:t>
            </w:r>
          </w:p>
          <w:p>
            <w:pPr>
              <w:rPr>
                <w:rFonts w:ascii="仿宋" w:hAnsi="仿宋" w:eastAsia="仿宋" w:cs="仿宋_GB2312"/>
                <w:szCs w:val="21"/>
              </w:rPr>
            </w:pPr>
            <w:r>
              <w:rPr>
                <w:rFonts w:hint="eastAsia" w:ascii="仿宋" w:hAnsi="仿宋" w:eastAsia="仿宋" w:cs="仿宋_GB2312"/>
                <w:szCs w:val="21"/>
              </w:rPr>
              <w:t>2.承担主体工程施工专业分工的联合体成员：</w:t>
            </w:r>
          </w:p>
          <w:p>
            <w:pPr>
              <w:rPr>
                <w:rFonts w:ascii="仿宋" w:hAnsi="仿宋" w:eastAsia="仿宋" w:cs="仿宋_GB2312"/>
                <w:szCs w:val="21"/>
              </w:rPr>
            </w:pPr>
            <w:r>
              <w:rPr>
                <w:rFonts w:hint="eastAsia" w:ascii="仿宋" w:hAnsi="仿宋" w:eastAsia="仿宋" w:cs="仿宋_GB2312"/>
                <w:szCs w:val="21"/>
              </w:rPr>
              <w:t>（1）2019年、2020年、2021年每年的企业营业额均不小于5亿元；</w:t>
            </w:r>
          </w:p>
          <w:p>
            <w:pPr>
              <w:rPr>
                <w:rFonts w:ascii="仿宋" w:hAnsi="仿宋" w:eastAsia="仿宋" w:cs="仿宋_GB2312"/>
                <w:szCs w:val="21"/>
              </w:rPr>
            </w:pPr>
            <w:r>
              <w:rPr>
                <w:rFonts w:hint="eastAsia" w:ascii="仿宋" w:hAnsi="仿宋" w:eastAsia="仿宋" w:cs="仿宋_GB2312"/>
                <w:szCs w:val="21"/>
              </w:rPr>
              <w:t>（2）2019年、2020年、2021年每年的企业资产负债率均不大于80%。</w:t>
            </w:r>
          </w:p>
        </w:tc>
        <w:tc>
          <w:tcPr>
            <w:tcW w:w="1029" w:type="dxa"/>
            <w:tcBorders>
              <w:top w:val="double" w:color="auto" w:sz="4" w:space="0"/>
              <w:left w:val="single" w:color="auto" w:sz="4" w:space="0"/>
            </w:tcBorders>
            <w:vAlign w:val="center"/>
          </w:tcPr>
          <w:p>
            <w:pPr>
              <w:rPr>
                <w:rFonts w:ascii="仿宋" w:hAnsi="仿宋" w:eastAsia="仿宋" w:cs="仿宋_GB2312"/>
                <w:szCs w:val="21"/>
              </w:rPr>
            </w:pPr>
            <w:r>
              <w:rPr>
                <w:rFonts w:hint="eastAsia" w:ascii="仿宋" w:hAnsi="仿宋" w:eastAsia="仿宋" w:cs="仿宋_GB2312"/>
                <w:szCs w:val="21"/>
              </w:rPr>
              <w:t>以联合体形式投标的按照此要求</w:t>
            </w:r>
          </w:p>
        </w:tc>
      </w:tr>
    </w:tbl>
    <w:p>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（4）信誉最低要求</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8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9" w:type="dxa"/>
            <w:vAlign w:val="center"/>
          </w:tcPr>
          <w:p>
            <w:pPr>
              <w:jc w:val="center"/>
              <w:rPr>
                <w:rFonts w:ascii="仿宋" w:hAnsi="仿宋" w:eastAsia="仿宋" w:cs="仿宋"/>
                <w:b/>
                <w:szCs w:val="21"/>
              </w:rPr>
            </w:pPr>
            <w:r>
              <w:rPr>
                <w:rFonts w:hint="eastAsia" w:ascii="仿宋" w:hAnsi="仿宋" w:eastAsia="仿宋" w:cs="仿宋"/>
                <w:b/>
                <w:szCs w:val="21"/>
              </w:rPr>
              <w:t>标段</w:t>
            </w:r>
          </w:p>
        </w:tc>
        <w:tc>
          <w:tcPr>
            <w:tcW w:w="8185" w:type="dxa"/>
            <w:vAlign w:val="center"/>
          </w:tcPr>
          <w:p>
            <w:pPr>
              <w:jc w:val="center"/>
              <w:rPr>
                <w:rFonts w:ascii="仿宋" w:hAnsi="仿宋" w:eastAsia="仿宋" w:cs="仿宋"/>
                <w:b/>
                <w:szCs w:val="21"/>
              </w:rPr>
            </w:pPr>
            <w:r>
              <w:rPr>
                <w:rFonts w:hint="eastAsia" w:ascii="仿宋" w:hAnsi="仿宋" w:eastAsia="仿宋" w:cs="仿宋"/>
                <w:b/>
                <w:szCs w:val="21"/>
              </w:rPr>
              <w:t>信  誉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69" w:type="dxa"/>
            <w:vAlign w:val="center"/>
          </w:tcPr>
          <w:p>
            <w:pPr>
              <w:tabs>
                <w:tab w:val="left" w:pos="1778"/>
              </w:tabs>
              <w:jc w:val="center"/>
              <w:rPr>
                <w:rFonts w:ascii="仿宋" w:hAnsi="仿宋" w:eastAsia="仿宋" w:cs="仿宋"/>
                <w:bCs/>
                <w:szCs w:val="21"/>
              </w:rPr>
            </w:pPr>
            <w:r>
              <w:rPr>
                <w:rFonts w:hint="eastAsia" w:ascii="仿宋" w:hAnsi="仿宋" w:eastAsia="仿宋" w:cs="仿宋_GB2312"/>
                <w:szCs w:val="21"/>
              </w:rPr>
              <w:t>BMY-01</w:t>
            </w:r>
          </w:p>
        </w:tc>
        <w:tc>
          <w:tcPr>
            <w:tcW w:w="8185" w:type="dxa"/>
            <w:vAlign w:val="center"/>
          </w:tcPr>
          <w:p>
            <w:pPr>
              <w:jc w:val="left"/>
              <w:rPr>
                <w:rFonts w:ascii="仿宋" w:hAnsi="仿宋" w:eastAsia="仿宋"/>
              </w:rPr>
            </w:pPr>
            <w:r>
              <w:rPr>
                <w:rFonts w:hint="eastAsia" w:ascii="仿宋" w:hAnsi="仿宋" w:eastAsia="仿宋"/>
              </w:rPr>
              <w:t>独立投标的投标人或以联合体形式投标的联合体各成员：</w:t>
            </w:r>
          </w:p>
          <w:p>
            <w:pPr>
              <w:jc w:val="left"/>
              <w:rPr>
                <w:rFonts w:hint="eastAsia" w:ascii="仿宋" w:hAnsi="仿宋" w:eastAsia="仿宋"/>
              </w:rPr>
            </w:pPr>
            <w:r>
              <w:rPr>
                <w:rFonts w:hint="eastAsia" w:ascii="仿宋" w:hAnsi="仿宋" w:eastAsia="仿宋"/>
              </w:rPr>
              <w:t>1.未被交通运输部或陕西省交通运输厅列为信用评价等级D级且处于有效期内。</w:t>
            </w:r>
          </w:p>
          <w:p>
            <w:pPr>
              <w:jc w:val="left"/>
              <w:rPr>
                <w:rFonts w:hint="eastAsia" w:ascii="仿宋" w:hAnsi="仿宋" w:eastAsia="仿宋"/>
              </w:rPr>
            </w:pPr>
            <w:r>
              <w:rPr>
                <w:rFonts w:hint="eastAsia" w:ascii="仿宋" w:hAnsi="仿宋" w:eastAsia="仿宋"/>
              </w:rPr>
              <w:t>2.未被省级及以上交通运输主管部门取消招标项目所在地的投标资格且处于有效期内；</w:t>
            </w:r>
          </w:p>
          <w:p>
            <w:pPr>
              <w:jc w:val="left"/>
              <w:rPr>
                <w:rFonts w:hint="eastAsia" w:ascii="仿宋" w:hAnsi="仿宋" w:eastAsia="仿宋"/>
              </w:rPr>
            </w:pPr>
            <w:r>
              <w:rPr>
                <w:rFonts w:hint="eastAsia" w:ascii="仿宋" w:hAnsi="仿宋" w:eastAsia="仿宋"/>
              </w:rPr>
              <w:t>3.未被责令停业，暂扣或吊销执照，或吊销资质证书；</w:t>
            </w:r>
          </w:p>
          <w:p>
            <w:pPr>
              <w:jc w:val="left"/>
              <w:rPr>
                <w:rFonts w:hint="eastAsia" w:ascii="仿宋" w:hAnsi="仿宋" w:eastAsia="仿宋"/>
              </w:rPr>
            </w:pPr>
            <w:r>
              <w:rPr>
                <w:rFonts w:hint="eastAsia" w:ascii="仿宋" w:hAnsi="仿宋" w:eastAsia="仿宋"/>
              </w:rPr>
              <w:t>4.未进入清算程序，或被宣告破产，或其他丧失履约能力的情形；</w:t>
            </w:r>
          </w:p>
          <w:p>
            <w:pPr>
              <w:jc w:val="left"/>
              <w:rPr>
                <w:rFonts w:hint="eastAsia" w:ascii="仿宋" w:hAnsi="仿宋" w:eastAsia="仿宋"/>
              </w:rPr>
            </w:pPr>
            <w:r>
              <w:rPr>
                <w:rFonts w:hint="eastAsia" w:ascii="仿宋" w:hAnsi="仿宋" w:eastAsia="仿宋"/>
              </w:rPr>
              <w:t>5.未在国家企业信用信息公示系统（http://www.gsxt.gov.cn/）中被列入严重违法失信企业名单；</w:t>
            </w:r>
          </w:p>
          <w:p>
            <w:pPr>
              <w:jc w:val="left"/>
              <w:rPr>
                <w:rFonts w:hint="eastAsia" w:ascii="仿宋" w:hAnsi="仿宋" w:eastAsia="仿宋"/>
              </w:rPr>
            </w:pPr>
            <w:r>
              <w:rPr>
                <w:rFonts w:hint="eastAsia" w:ascii="仿宋" w:hAnsi="仿宋" w:eastAsia="仿宋"/>
              </w:rPr>
              <w:t>6.未在“信用中国”网站（http://www.creditchina.gov.cn/）中被列入失信被执行人名单；</w:t>
            </w:r>
          </w:p>
          <w:p>
            <w:pPr>
              <w:jc w:val="left"/>
              <w:rPr>
                <w:rFonts w:hint="eastAsia" w:ascii="仿宋" w:hAnsi="仿宋" w:eastAsia="仿宋"/>
              </w:rPr>
            </w:pPr>
            <w:r>
              <w:rPr>
                <w:rFonts w:hint="eastAsia" w:ascii="仿宋" w:hAnsi="仿宋" w:eastAsia="仿宋"/>
              </w:rPr>
              <w:t>7.投标人及其法定代表人、项目总负责人、设计负责人、施工项目经理和施工项目总工在近三年（自2019 年 1 月 1 日起）内无行贿犯罪行为（以“中国裁判文书网”中查询结果为准）；</w:t>
            </w:r>
          </w:p>
          <w:p>
            <w:r>
              <w:rPr>
                <w:rFonts w:hint="eastAsia" w:ascii="仿宋" w:hAnsi="仿宋" w:eastAsia="仿宋"/>
              </w:rPr>
              <w:t>8.不存在法律法规或投标人须知前附表规定的其他情形。</w:t>
            </w:r>
          </w:p>
        </w:tc>
      </w:tr>
    </w:tbl>
    <w:p>
      <w:pPr>
        <w:spacing w:line="360" w:lineRule="auto"/>
        <w:ind w:firstLine="640" w:firstLineChars="200"/>
        <w:rPr>
          <w:rFonts w:ascii="仿宋" w:hAnsi="仿宋" w:eastAsia="仿宋"/>
        </w:rPr>
      </w:pPr>
      <w:r>
        <w:rPr>
          <w:rFonts w:hint="eastAsia" w:ascii="仿宋" w:hAnsi="仿宋" w:eastAsia="仿宋" w:cs="仿宋_GB2312"/>
          <w:sz w:val="32"/>
          <w:szCs w:val="32"/>
        </w:rPr>
        <w:t>（5）主要管理人员最低要求</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822"/>
        <w:gridCol w:w="5409"/>
        <w:gridCol w:w="2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人 员</w:t>
            </w:r>
          </w:p>
        </w:tc>
        <w:tc>
          <w:tcPr>
            <w:tcW w:w="822"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人数</w:t>
            </w:r>
          </w:p>
        </w:tc>
        <w:tc>
          <w:tcPr>
            <w:tcW w:w="5409"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资格要求</w:t>
            </w:r>
          </w:p>
        </w:tc>
        <w:tc>
          <w:tcPr>
            <w:tcW w:w="2284"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项目</w:t>
            </w:r>
          </w:p>
          <w:p>
            <w:pPr>
              <w:jc w:val="center"/>
              <w:rPr>
                <w:rFonts w:ascii="仿宋" w:hAnsi="仿宋" w:eastAsia="仿宋" w:cs="仿宋"/>
                <w:color w:val="000000"/>
                <w:szCs w:val="21"/>
              </w:rPr>
            </w:pPr>
            <w:r>
              <w:rPr>
                <w:rFonts w:hint="eastAsia" w:ascii="仿宋" w:hAnsi="仿宋" w:eastAsia="仿宋" w:cs="仿宋"/>
                <w:color w:val="000000"/>
                <w:szCs w:val="21"/>
              </w:rPr>
              <w:t>总负责人</w:t>
            </w:r>
          </w:p>
        </w:tc>
        <w:tc>
          <w:tcPr>
            <w:tcW w:w="822"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5409" w:type="dxa"/>
            <w:vAlign w:val="center"/>
          </w:tcPr>
          <w:p>
            <w:pPr>
              <w:rPr>
                <w:rFonts w:ascii="仿宋" w:hAnsi="仿宋" w:eastAsia="仿宋" w:cs="仿宋"/>
                <w:color w:val="000000"/>
                <w:szCs w:val="21"/>
              </w:rPr>
            </w:pPr>
            <w:r>
              <w:rPr>
                <w:rFonts w:hint="eastAsia" w:ascii="仿宋" w:hAnsi="仿宋" w:eastAsia="仿宋" w:cs="仿宋"/>
                <w:color w:val="000000"/>
                <w:szCs w:val="21"/>
              </w:rPr>
              <w:t>具有公路工程相关专业高级或以上技术职称；5年或以上公路勘察设计经验；近5年以来，担任过1个新建或改扩建高速公路项目勘察设计合同段项目负责人。</w:t>
            </w:r>
          </w:p>
          <w:p>
            <w:pPr>
              <w:rPr>
                <w:rFonts w:ascii="仿宋" w:hAnsi="仿宋" w:eastAsia="仿宋" w:cs="仿宋"/>
                <w:color w:val="000000"/>
                <w:szCs w:val="21"/>
              </w:rPr>
            </w:pPr>
            <w:r>
              <w:rPr>
                <w:rFonts w:hint="eastAsia" w:ascii="仿宋" w:hAnsi="仿宋" w:eastAsia="仿宋" w:cs="仿宋"/>
                <w:color w:val="000000"/>
                <w:szCs w:val="21"/>
              </w:rPr>
              <w:t>或者：</w:t>
            </w:r>
          </w:p>
          <w:p>
            <w:pPr>
              <w:jc w:val="left"/>
              <w:rPr>
                <w:rFonts w:ascii="仿宋" w:hAnsi="仿宋" w:eastAsia="仿宋" w:cs="仿宋"/>
                <w:color w:val="000000"/>
                <w:szCs w:val="21"/>
              </w:rPr>
            </w:pPr>
            <w:r>
              <w:rPr>
                <w:rFonts w:hint="eastAsia" w:ascii="仿宋" w:hAnsi="仿宋" w:eastAsia="仿宋" w:cs="仿宋"/>
                <w:szCs w:val="21"/>
              </w:rPr>
              <w:t>具有高级或以上技术职称；5</w:t>
            </w:r>
            <w:r>
              <w:rPr>
                <w:rFonts w:hint="eastAsia" w:ascii="仿宋" w:hAnsi="仿宋" w:eastAsia="仿宋" w:cs="仿宋"/>
                <w:color w:val="000000"/>
                <w:szCs w:val="21"/>
              </w:rPr>
              <w:t>年或以上公路工程施工管理经验；持公路工程一级注册建造师证书和交通运输主管部门核发有效的B类安全生产考核证；近5年以来，担任过1个新建或改扩建高速公路路基桥涵工程施工合同段项目经理。</w:t>
            </w:r>
          </w:p>
        </w:tc>
        <w:tc>
          <w:tcPr>
            <w:tcW w:w="2284"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独立投标的投标人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Merge w:val="continue"/>
            <w:vAlign w:val="center"/>
          </w:tcPr>
          <w:p>
            <w:pPr>
              <w:jc w:val="center"/>
              <w:rPr>
                <w:rFonts w:ascii="仿宋" w:hAnsi="仿宋" w:eastAsia="仿宋" w:cs="仿宋"/>
                <w:color w:val="000000"/>
                <w:szCs w:val="21"/>
              </w:rPr>
            </w:pPr>
          </w:p>
        </w:tc>
        <w:tc>
          <w:tcPr>
            <w:tcW w:w="822" w:type="dxa"/>
            <w:vMerge w:val="restart"/>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5409" w:type="dxa"/>
            <w:vAlign w:val="center"/>
          </w:tcPr>
          <w:p>
            <w:pPr>
              <w:tabs>
                <w:tab w:val="left" w:pos="1778"/>
              </w:tabs>
              <w:rPr>
                <w:rFonts w:ascii="仿宋" w:hAnsi="仿宋" w:eastAsia="仿宋" w:cs="仿宋"/>
                <w:color w:val="000000"/>
                <w:szCs w:val="21"/>
              </w:rPr>
            </w:pPr>
            <w:r>
              <w:rPr>
                <w:rFonts w:hint="eastAsia" w:ascii="仿宋" w:hAnsi="仿宋" w:eastAsia="仿宋" w:cs="仿宋"/>
                <w:color w:val="000000"/>
                <w:szCs w:val="21"/>
              </w:rPr>
              <w:t>具有公路工程相关专业高级或以上技术职称；5年或以上公路勘察设计经验；近5年以来，担任过1个新建或改扩建高速公路项目勘察设计合同段项目负责人。</w:t>
            </w:r>
          </w:p>
        </w:tc>
        <w:tc>
          <w:tcPr>
            <w:tcW w:w="2284" w:type="dxa"/>
            <w:vAlign w:val="center"/>
          </w:tcPr>
          <w:p>
            <w:pPr>
              <w:tabs>
                <w:tab w:val="left" w:pos="1778"/>
              </w:tabs>
              <w:rPr>
                <w:rFonts w:ascii="仿宋" w:hAnsi="仿宋" w:eastAsia="仿宋" w:cs="仿宋"/>
                <w:color w:val="000000"/>
                <w:szCs w:val="21"/>
              </w:rPr>
            </w:pPr>
            <w:r>
              <w:rPr>
                <w:rFonts w:hint="eastAsia" w:ascii="仿宋" w:hAnsi="仿宋" w:eastAsia="仿宋" w:cs="仿宋"/>
                <w:color w:val="000000"/>
                <w:szCs w:val="21"/>
              </w:rPr>
              <w:t>以联合体形式投标且承担勘察设计专业分工联合体成员为联合体牵头人时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Merge w:val="continue"/>
            <w:vAlign w:val="center"/>
          </w:tcPr>
          <w:p>
            <w:pPr>
              <w:jc w:val="center"/>
              <w:rPr>
                <w:rFonts w:ascii="仿宋" w:hAnsi="仿宋" w:eastAsia="仿宋" w:cs="仿宋"/>
                <w:color w:val="000000"/>
                <w:szCs w:val="21"/>
              </w:rPr>
            </w:pPr>
          </w:p>
        </w:tc>
        <w:tc>
          <w:tcPr>
            <w:tcW w:w="822" w:type="dxa"/>
            <w:vMerge w:val="continue"/>
            <w:vAlign w:val="center"/>
          </w:tcPr>
          <w:p>
            <w:pPr>
              <w:jc w:val="center"/>
              <w:rPr>
                <w:rFonts w:ascii="仿宋" w:hAnsi="仿宋" w:eastAsia="仿宋" w:cs="仿宋"/>
                <w:color w:val="000000"/>
                <w:szCs w:val="21"/>
              </w:rPr>
            </w:pPr>
          </w:p>
        </w:tc>
        <w:tc>
          <w:tcPr>
            <w:tcW w:w="5409" w:type="dxa"/>
            <w:vAlign w:val="center"/>
          </w:tcPr>
          <w:p>
            <w:pPr>
              <w:tabs>
                <w:tab w:val="left" w:pos="1778"/>
              </w:tabs>
              <w:rPr>
                <w:rFonts w:ascii="仿宋" w:hAnsi="仿宋" w:eastAsia="仿宋" w:cs="仿宋"/>
                <w:color w:val="000000"/>
                <w:szCs w:val="21"/>
              </w:rPr>
            </w:pPr>
            <w:r>
              <w:rPr>
                <w:rFonts w:hint="eastAsia" w:ascii="仿宋" w:hAnsi="仿宋" w:eastAsia="仿宋" w:cs="仿宋"/>
                <w:szCs w:val="21"/>
              </w:rPr>
              <w:t>具有高级或以上技术职称；5</w:t>
            </w:r>
            <w:r>
              <w:rPr>
                <w:rFonts w:hint="eastAsia" w:ascii="仿宋" w:hAnsi="仿宋" w:eastAsia="仿宋" w:cs="仿宋"/>
                <w:color w:val="000000"/>
                <w:szCs w:val="21"/>
              </w:rPr>
              <w:t>年或以上公路工程施工管理经验；持公路工程专业一级注册建造师证书和省级交通运输主管部门核发有效的B类安全生产考核证；近5年以来，担任过1个新建或改扩建高速公路路基桥涵工程施工合同段项目经理。</w:t>
            </w:r>
          </w:p>
        </w:tc>
        <w:tc>
          <w:tcPr>
            <w:tcW w:w="2284" w:type="dxa"/>
            <w:vAlign w:val="center"/>
          </w:tcPr>
          <w:p>
            <w:pPr>
              <w:tabs>
                <w:tab w:val="left" w:pos="1778"/>
              </w:tabs>
              <w:rPr>
                <w:rFonts w:ascii="仿宋" w:hAnsi="仿宋" w:eastAsia="仿宋" w:cs="仿宋"/>
                <w:color w:val="000000"/>
                <w:szCs w:val="21"/>
              </w:rPr>
            </w:pPr>
            <w:r>
              <w:rPr>
                <w:rFonts w:hint="eastAsia" w:ascii="仿宋" w:hAnsi="仿宋" w:eastAsia="仿宋" w:cs="仿宋"/>
                <w:color w:val="000000"/>
                <w:szCs w:val="21"/>
              </w:rPr>
              <w:t>以联合体形式投标且承担主体工程施工专业分工联合体成员为联合体牵头人时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设计</w:t>
            </w:r>
          </w:p>
          <w:p>
            <w:pPr>
              <w:jc w:val="center"/>
              <w:rPr>
                <w:rFonts w:ascii="仿宋" w:hAnsi="仿宋" w:eastAsia="仿宋" w:cs="仿宋"/>
                <w:color w:val="000000"/>
                <w:szCs w:val="21"/>
              </w:rPr>
            </w:pPr>
            <w:r>
              <w:rPr>
                <w:rFonts w:hint="eastAsia" w:ascii="仿宋" w:hAnsi="仿宋" w:eastAsia="仿宋" w:cs="仿宋"/>
                <w:color w:val="000000"/>
                <w:szCs w:val="21"/>
              </w:rPr>
              <w:t>负责人</w:t>
            </w:r>
          </w:p>
        </w:tc>
        <w:tc>
          <w:tcPr>
            <w:tcW w:w="822"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5409" w:type="dxa"/>
            <w:vAlign w:val="center"/>
          </w:tcPr>
          <w:p>
            <w:pPr>
              <w:rPr>
                <w:rFonts w:ascii="仿宋" w:hAnsi="仿宋" w:eastAsia="仿宋" w:cs="仿宋"/>
                <w:color w:val="000000"/>
                <w:szCs w:val="21"/>
              </w:rPr>
            </w:pPr>
            <w:r>
              <w:rPr>
                <w:rFonts w:hint="eastAsia" w:ascii="仿宋" w:hAnsi="仿宋" w:eastAsia="仿宋" w:cs="仿宋"/>
                <w:color w:val="000000"/>
                <w:szCs w:val="21"/>
              </w:rPr>
              <w:t>具有公路工程相关专业高级或以上技术职称；5年或以上公路勘察设计经验；近5年以来，担任过1个新建或改扩建高速公路项目勘察设计合同段项目负责人。</w:t>
            </w:r>
          </w:p>
        </w:tc>
        <w:tc>
          <w:tcPr>
            <w:tcW w:w="2284" w:type="dxa"/>
            <w:vAlign w:val="center"/>
          </w:tcPr>
          <w:p>
            <w:pPr>
              <w:tabs>
                <w:tab w:val="left" w:pos="1778"/>
              </w:tabs>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施工</w:t>
            </w:r>
          </w:p>
          <w:p>
            <w:pPr>
              <w:jc w:val="center"/>
              <w:rPr>
                <w:rFonts w:ascii="仿宋" w:hAnsi="仿宋" w:eastAsia="仿宋" w:cs="仿宋"/>
                <w:color w:val="000000"/>
                <w:szCs w:val="21"/>
              </w:rPr>
            </w:pPr>
            <w:r>
              <w:rPr>
                <w:rFonts w:hint="eastAsia" w:ascii="仿宋" w:hAnsi="仿宋" w:eastAsia="仿宋" w:cs="仿宋"/>
                <w:color w:val="000000"/>
                <w:szCs w:val="21"/>
              </w:rPr>
              <w:t>项目经理</w:t>
            </w:r>
          </w:p>
        </w:tc>
        <w:tc>
          <w:tcPr>
            <w:tcW w:w="822"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5409" w:type="dxa"/>
            <w:vAlign w:val="center"/>
          </w:tcPr>
          <w:p>
            <w:pPr>
              <w:tabs>
                <w:tab w:val="left" w:pos="1778"/>
              </w:tabs>
              <w:rPr>
                <w:rFonts w:ascii="仿宋" w:hAnsi="仿宋" w:eastAsia="仿宋" w:cs="仿宋"/>
                <w:color w:val="000000"/>
                <w:szCs w:val="21"/>
              </w:rPr>
            </w:pPr>
            <w:r>
              <w:rPr>
                <w:rFonts w:hint="eastAsia" w:ascii="仿宋" w:hAnsi="仿宋" w:eastAsia="仿宋" w:cs="仿宋"/>
                <w:color w:val="000000"/>
                <w:szCs w:val="21"/>
              </w:rPr>
              <w:t>具有中级或以上技术职称；5年或以上公路工程施工管理经验；持公路工程专业一级注册建造师证书和省级交通运输主管部门核发有效的B类安全生产考核证；近5年以来，担任过1个新建或改扩建高速公路路基桥涵工程施工合同段项目经理。</w:t>
            </w:r>
          </w:p>
        </w:tc>
        <w:tc>
          <w:tcPr>
            <w:tcW w:w="2284" w:type="dxa"/>
            <w:vAlign w:val="center"/>
          </w:tcPr>
          <w:p>
            <w:pPr>
              <w:tabs>
                <w:tab w:val="left" w:pos="1778"/>
              </w:tabs>
              <w:rPr>
                <w:rFonts w:ascii="仿宋" w:hAnsi="仿宋" w:eastAsia="仿宋"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39"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施工</w:t>
            </w:r>
          </w:p>
          <w:p>
            <w:pPr>
              <w:jc w:val="center"/>
              <w:rPr>
                <w:rFonts w:ascii="仿宋" w:hAnsi="仿宋" w:eastAsia="仿宋" w:cs="仿宋"/>
                <w:color w:val="000000"/>
                <w:szCs w:val="21"/>
              </w:rPr>
            </w:pPr>
            <w:r>
              <w:rPr>
                <w:rFonts w:hint="eastAsia" w:ascii="仿宋" w:hAnsi="仿宋" w:eastAsia="仿宋" w:cs="仿宋"/>
                <w:color w:val="000000"/>
                <w:szCs w:val="21"/>
              </w:rPr>
              <w:t>项目总工</w:t>
            </w:r>
          </w:p>
        </w:tc>
        <w:tc>
          <w:tcPr>
            <w:tcW w:w="822" w:type="dxa"/>
            <w:vAlign w:val="center"/>
          </w:tcPr>
          <w:p>
            <w:pPr>
              <w:jc w:val="center"/>
              <w:rPr>
                <w:rFonts w:ascii="仿宋" w:hAnsi="仿宋" w:eastAsia="仿宋" w:cs="仿宋"/>
                <w:color w:val="000000"/>
                <w:szCs w:val="21"/>
              </w:rPr>
            </w:pPr>
            <w:r>
              <w:rPr>
                <w:rFonts w:hint="eastAsia" w:ascii="仿宋" w:hAnsi="仿宋" w:eastAsia="仿宋" w:cs="仿宋"/>
                <w:color w:val="000000"/>
                <w:szCs w:val="21"/>
              </w:rPr>
              <w:t>1</w:t>
            </w:r>
          </w:p>
        </w:tc>
        <w:tc>
          <w:tcPr>
            <w:tcW w:w="5409" w:type="dxa"/>
            <w:vAlign w:val="center"/>
          </w:tcPr>
          <w:p>
            <w:pPr>
              <w:tabs>
                <w:tab w:val="left" w:pos="1778"/>
              </w:tabs>
              <w:rPr>
                <w:rFonts w:ascii="仿宋" w:hAnsi="仿宋" w:eastAsia="仿宋" w:cs="仿宋"/>
                <w:color w:val="000000"/>
                <w:szCs w:val="21"/>
              </w:rPr>
            </w:pPr>
            <w:r>
              <w:rPr>
                <w:rFonts w:hint="eastAsia" w:ascii="仿宋" w:hAnsi="仿宋" w:eastAsia="仿宋" w:cs="仿宋"/>
                <w:color w:val="000000"/>
                <w:szCs w:val="21"/>
              </w:rPr>
              <w:t>具有公路工程相关专业高级或以上技术职称；5年或以上公路工程施工管理经验；持省级交通运输主管部门核发有效的B类安全生产考核证；近5年以来，担任过1个新建或改扩建高速公路路路基桥涵工程施工合同段项目总工。</w:t>
            </w:r>
          </w:p>
        </w:tc>
        <w:tc>
          <w:tcPr>
            <w:tcW w:w="2284" w:type="dxa"/>
            <w:vAlign w:val="center"/>
          </w:tcPr>
          <w:p>
            <w:pPr>
              <w:tabs>
                <w:tab w:val="left" w:pos="1778"/>
              </w:tabs>
              <w:rPr>
                <w:rFonts w:ascii="仿宋" w:hAnsi="仿宋" w:eastAsia="仿宋" w:cs="仿宋"/>
                <w:color w:val="000000"/>
                <w:szCs w:val="21"/>
              </w:rPr>
            </w:pPr>
          </w:p>
        </w:tc>
      </w:tr>
    </w:tbl>
    <w:p>
      <w:pPr>
        <w:pStyle w:val="16"/>
        <w:topLinePunct/>
        <w:spacing w:line="360" w:lineRule="auto"/>
        <w:ind w:firstLine="480" w:firstLineChars="200"/>
        <w:rPr>
          <w:rFonts w:ascii="仿宋" w:hAnsi="仿宋" w:eastAsia="仿宋" w:cs="仿宋"/>
          <w:szCs w:val="24"/>
        </w:rPr>
      </w:pPr>
      <w:r>
        <w:rPr>
          <w:rFonts w:hint="eastAsia" w:ascii="仿宋" w:hAnsi="仿宋" w:eastAsia="仿宋" w:cs="仿宋"/>
          <w:szCs w:val="24"/>
        </w:rPr>
        <w:t>说明：1.项目总负责人、设计负责人、施工项目经理、施工项目总工要求无在岗项目，指目前未在其他项目上任职，或虽在其他项目上任职但本项目中标后能够从该项目撤离。</w:t>
      </w:r>
    </w:p>
    <w:p>
      <w:pPr>
        <w:pStyle w:val="16"/>
        <w:topLinePunct/>
        <w:spacing w:line="360" w:lineRule="auto"/>
        <w:ind w:firstLine="480" w:firstLineChars="200"/>
        <w:rPr>
          <w:rFonts w:ascii="仿宋" w:hAnsi="仿宋" w:eastAsia="仿宋" w:cs="仿宋"/>
          <w:sz w:val="28"/>
          <w:szCs w:val="28"/>
        </w:rPr>
      </w:pPr>
      <w:r>
        <w:rPr>
          <w:rFonts w:hint="eastAsia" w:ascii="仿宋" w:hAnsi="仿宋" w:eastAsia="仿宋" w:cs="仿宋"/>
          <w:szCs w:val="24"/>
        </w:rPr>
        <w:t>2.项目总负责人根据所满足的资格条件可相应兼任设计负责人或施工项目经理。</w:t>
      </w:r>
    </w:p>
    <w:p>
      <w:pPr>
        <w:spacing w:line="520" w:lineRule="exact"/>
        <w:ind w:firstLine="560" w:firstLineChars="200"/>
        <w:rPr>
          <w:rFonts w:ascii="仿宋" w:hAnsi="仿宋" w:eastAsia="仿宋" w:cs="仿宋"/>
          <w:sz w:val="28"/>
          <w:szCs w:val="28"/>
        </w:rPr>
      </w:pPr>
      <w:r>
        <w:rPr>
          <w:rFonts w:hint="eastAsia" w:ascii="仿宋" w:hAnsi="仿宋" w:eastAsia="仿宋" w:cs="仿宋"/>
          <w:sz w:val="28"/>
          <w:szCs w:val="28"/>
        </w:rPr>
        <w:t>（6）拟投入的其他管理人员和技术人员，在投标时不需填报，但须按招标文件规定做出相关承诺。人员最低要求在招标文件提供的合同附件中明确，具体人选名单由招标人和中标人在合同谈判阶段确定，经招标人审批后作为派驻本标段项目管理机构人员并作为合同履约考核的依据。如中标人拟派驻的人员数量和资格条件不满足合同附件的要求，招标人将取消其中标资格。</w:t>
      </w:r>
    </w:p>
    <w:p>
      <w:pPr>
        <w:tabs>
          <w:tab w:val="left" w:pos="4228"/>
        </w:tabs>
        <w:spacing w:line="520" w:lineRule="exact"/>
        <w:ind w:firstLine="560" w:firstLineChars="200"/>
        <w:rPr>
          <w:rFonts w:ascii="仿宋" w:hAnsi="仿宋" w:eastAsia="仿宋" w:cs="仿宋"/>
          <w:sz w:val="28"/>
          <w:szCs w:val="28"/>
        </w:rPr>
      </w:pPr>
      <w:r>
        <w:rPr>
          <w:rFonts w:ascii="仿宋" w:hAnsi="仿宋" w:eastAsia="仿宋"/>
          <w:sz w:val="28"/>
          <w:szCs w:val="28"/>
        </w:rPr>
        <w:t>（</w:t>
      </w:r>
      <w:r>
        <w:rPr>
          <w:rFonts w:hint="eastAsia" w:ascii="仿宋" w:hAnsi="仿宋" w:eastAsia="仿宋"/>
          <w:sz w:val="28"/>
          <w:szCs w:val="28"/>
        </w:rPr>
        <w:t>7</w:t>
      </w:r>
      <w:r>
        <w:rPr>
          <w:rFonts w:ascii="仿宋" w:hAnsi="仿宋" w:eastAsia="仿宋"/>
          <w:sz w:val="28"/>
          <w:szCs w:val="28"/>
        </w:rPr>
        <w:t>）</w:t>
      </w:r>
      <w:r>
        <w:rPr>
          <w:rFonts w:hint="eastAsia" w:ascii="仿宋" w:hAnsi="仿宋" w:eastAsia="仿宋" w:cs="仿宋"/>
          <w:sz w:val="28"/>
          <w:szCs w:val="28"/>
        </w:rPr>
        <w:t>拟投入的主要机械设备和试验检测设备，在投标时不需填报，但须按招标文件规定做出相关承诺。设备最低要求在招标文件提供的合同附件中明确，具体设备清单由招标人和中标人在合同谈判阶段确定，经招标人审批后作为投入本标段的主要设备并作为合同履约考核的依据。如中标人拟提供的设备数量和规格指标等不满足合同附件的要求，招标人将取消其中标资格。</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2.独立投标的投标人及联合体中承担施工图勘察设计专业分工的联合体成员应进入交通运输部“全国公路建设市场信用信息管理系统"中的公路工程设计资质企业名录，且投标人名称和资质与该名录中相应企业名称和资质完全一致。</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独立投标的投标人及联合体中承担主体工程施工、交通安全设施工程施工、机电工程施工专业分工的联合体成员应进入交通运输部“全国公路建设市场信用信息管理系统”中的公路工程施工资质企业名录，且投标人名称和资质与该名录中的相应企业名称和资质完全一致。</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独立投标的投标人及联合体中承担房建工程施工专业分工的联合体成员应进入住房和城乡建设部“全国建筑市场监管公共服务平台”企业数据库，且投标人名称和资质与其中的相应企业名称和资质完全一致。</w:t>
      </w:r>
    </w:p>
    <w:p>
      <w:pPr>
        <w:spacing w:line="520" w:lineRule="exact"/>
        <w:ind w:firstLine="548" w:firstLineChars="196"/>
        <w:rPr>
          <w:rFonts w:ascii="仿宋" w:hAnsi="仿宋" w:eastAsia="仿宋"/>
          <w:sz w:val="28"/>
          <w:szCs w:val="28"/>
        </w:rPr>
      </w:pPr>
      <w:r>
        <w:rPr>
          <w:rFonts w:hint="eastAsia" w:ascii="仿宋" w:hAnsi="仿宋" w:eastAsia="仿宋"/>
          <w:sz w:val="28"/>
          <w:szCs w:val="28"/>
        </w:rPr>
        <w:t>3.本次招标投标人可以独立投标，也可以组成联合体投标。组成联合体投标的投标人，必须满足下列要求：</w:t>
      </w:r>
    </w:p>
    <w:p>
      <w:pPr>
        <w:spacing w:line="520" w:lineRule="exact"/>
        <w:ind w:firstLine="548" w:firstLineChars="196"/>
        <w:rPr>
          <w:rFonts w:ascii="仿宋" w:hAnsi="仿宋" w:eastAsia="仿宋"/>
          <w:sz w:val="28"/>
          <w:szCs w:val="28"/>
        </w:rPr>
      </w:pPr>
      <w:r>
        <w:rPr>
          <w:rFonts w:hint="eastAsia" w:ascii="仿宋" w:hAnsi="仿宋" w:eastAsia="仿宋"/>
          <w:sz w:val="28"/>
          <w:szCs w:val="28"/>
        </w:rPr>
        <w:t>3.1一名联合体成员根据所具备的资格条件，承担相应类别的专业分工。联合体所有成员数量不得超过5家，联合体牵头人应为承担勘察设计或主体工程施工专业分工的单位。</w:t>
      </w:r>
    </w:p>
    <w:p>
      <w:pPr>
        <w:spacing w:line="520" w:lineRule="exact"/>
        <w:ind w:firstLine="548" w:firstLineChars="196"/>
        <w:rPr>
          <w:rFonts w:ascii="仿宋" w:hAnsi="仿宋" w:eastAsia="仿宋"/>
          <w:sz w:val="28"/>
          <w:szCs w:val="28"/>
        </w:rPr>
      </w:pPr>
      <w:r>
        <w:rPr>
          <w:rFonts w:hint="eastAsia" w:ascii="仿宋" w:hAnsi="仿宋" w:eastAsia="仿宋"/>
          <w:sz w:val="28"/>
          <w:szCs w:val="28"/>
        </w:rPr>
        <w:t>3.2同一专业分工由不同联合体成员共同承担的，按照资质等级较低的单位确定联合体的资质，按照各单位相应业绩之和确定联合体具有的业绩。</w:t>
      </w:r>
    </w:p>
    <w:p>
      <w:pPr>
        <w:spacing w:line="520" w:lineRule="exact"/>
        <w:ind w:firstLine="548" w:firstLineChars="196"/>
        <w:rPr>
          <w:rFonts w:ascii="仿宋" w:hAnsi="仿宋" w:eastAsia="仿宋"/>
          <w:sz w:val="28"/>
          <w:szCs w:val="28"/>
        </w:rPr>
      </w:pPr>
      <w:r>
        <w:rPr>
          <w:rFonts w:hint="eastAsia" w:ascii="仿宋" w:hAnsi="仿宋" w:eastAsia="仿宋"/>
          <w:sz w:val="28"/>
          <w:szCs w:val="28"/>
        </w:rPr>
        <w:t>3.3联合体各方不得再以自己的名义单独或参加其他联合体在同一标段中投标。</w:t>
      </w:r>
    </w:p>
    <w:p>
      <w:pPr>
        <w:spacing w:line="520" w:lineRule="exact"/>
        <w:ind w:firstLine="548" w:firstLineChars="196"/>
        <w:rPr>
          <w:rFonts w:ascii="仿宋" w:hAnsi="仿宋" w:eastAsia="仿宋"/>
          <w:sz w:val="28"/>
          <w:szCs w:val="28"/>
        </w:rPr>
      </w:pPr>
      <w:r>
        <w:rPr>
          <w:rFonts w:hint="eastAsia" w:ascii="仿宋" w:hAnsi="仿宋" w:eastAsia="仿宋"/>
          <w:sz w:val="28"/>
          <w:szCs w:val="28"/>
        </w:rPr>
        <w:t>3.4单位负责人为同一人或存在控股、管理关系的不同单位，不得同时独立或组成不同的联合体参加同一标段的投标，否则相关投标均无效。</w:t>
      </w:r>
    </w:p>
    <w:p>
      <w:pPr>
        <w:spacing w:line="520" w:lineRule="exact"/>
        <w:ind w:firstLine="548" w:firstLineChars="196"/>
        <w:rPr>
          <w:rFonts w:ascii="仿宋" w:hAnsi="仿宋" w:eastAsia="仿宋"/>
          <w:sz w:val="28"/>
          <w:szCs w:val="28"/>
        </w:rPr>
      </w:pPr>
      <w:r>
        <w:rPr>
          <w:rFonts w:hint="eastAsia" w:ascii="仿宋" w:hAnsi="仿宋" w:eastAsia="仿宋"/>
          <w:sz w:val="28"/>
          <w:szCs w:val="28"/>
        </w:rPr>
        <w:t>3.5联合体各方应按规定的格式签订联合体协议书，明确联合体牵头人和各方权利义务，并承诺就中标项目向招标人承担连带责任。</w:t>
      </w:r>
    </w:p>
    <w:p>
      <w:pPr>
        <w:numPr>
          <w:ilvl w:val="0"/>
          <w:numId w:val="3"/>
        </w:numPr>
        <w:spacing w:line="520" w:lineRule="exact"/>
        <w:ind w:firstLine="548" w:firstLineChars="196"/>
        <w:rPr>
          <w:rFonts w:ascii="仿宋" w:hAnsi="仿宋" w:eastAsia="仿宋"/>
          <w:sz w:val="28"/>
          <w:szCs w:val="28"/>
        </w:rPr>
      </w:pPr>
      <w:r>
        <w:rPr>
          <w:rFonts w:hint="eastAsia" w:ascii="仿宋" w:hAnsi="仿宋" w:eastAsia="仿宋"/>
          <w:sz w:val="28"/>
          <w:szCs w:val="28"/>
        </w:rPr>
        <w:t>本项目初步勘察设计及设计咨询（含地勘监理）单位及其附属单位、政府咨询（评估）单位不得参加本次投标。</w:t>
      </w:r>
    </w:p>
    <w:p>
      <w:pPr>
        <w:spacing w:line="520" w:lineRule="exact"/>
        <w:ind w:firstLine="560" w:firstLineChars="200"/>
        <w:rPr>
          <w:rFonts w:ascii="仿宋" w:hAnsi="仿宋" w:eastAsia="仿宋" w:cs="仿宋"/>
          <w:bCs/>
          <w:sz w:val="28"/>
          <w:szCs w:val="28"/>
        </w:rPr>
      </w:pPr>
      <w:r>
        <w:rPr>
          <w:rFonts w:hint="eastAsia" w:ascii="仿宋" w:hAnsi="仿宋" w:eastAsia="仿宋" w:cs="仿宋"/>
          <w:bCs/>
          <w:sz w:val="28"/>
          <w:szCs w:val="28"/>
        </w:rPr>
        <w:t>5.信用评价</w:t>
      </w:r>
    </w:p>
    <w:p>
      <w:pPr>
        <w:spacing w:line="520" w:lineRule="exact"/>
        <w:ind w:firstLine="548" w:firstLineChars="196"/>
        <w:rPr>
          <w:rFonts w:ascii="仿宋" w:hAnsi="仿宋" w:eastAsia="仿宋" w:cs="仿宋"/>
          <w:bCs/>
          <w:sz w:val="28"/>
          <w:szCs w:val="28"/>
        </w:rPr>
      </w:pPr>
      <w:r>
        <w:rPr>
          <w:rFonts w:ascii="仿宋" w:hAnsi="仿宋" w:eastAsia="仿宋" w:cs="仿宋"/>
          <w:bCs/>
          <w:sz w:val="28"/>
          <w:szCs w:val="28"/>
        </w:rPr>
        <w:t>根据陕西省交通运输厅《关于</w:t>
      </w:r>
      <w:r>
        <w:rPr>
          <w:rFonts w:hint="eastAsia" w:ascii="仿宋" w:hAnsi="仿宋" w:eastAsia="仿宋" w:cs="仿宋"/>
          <w:bCs/>
          <w:sz w:val="28"/>
          <w:szCs w:val="28"/>
        </w:rPr>
        <w:t>陕西省2021</w:t>
      </w:r>
      <w:r>
        <w:rPr>
          <w:rFonts w:ascii="仿宋" w:hAnsi="仿宋" w:eastAsia="仿宋" w:cs="仿宋"/>
          <w:bCs/>
          <w:sz w:val="28"/>
          <w:szCs w:val="28"/>
        </w:rPr>
        <w:t>年度高速公路</w:t>
      </w:r>
      <w:r>
        <w:rPr>
          <w:rFonts w:hint="eastAsia" w:ascii="仿宋" w:hAnsi="仿宋" w:eastAsia="仿宋" w:cs="仿宋"/>
          <w:bCs/>
          <w:sz w:val="28"/>
          <w:szCs w:val="28"/>
        </w:rPr>
        <w:t>设计</w:t>
      </w:r>
      <w:r>
        <w:rPr>
          <w:rFonts w:ascii="仿宋" w:hAnsi="仿宋" w:eastAsia="仿宋" w:cs="仿宋"/>
          <w:bCs/>
          <w:sz w:val="28"/>
          <w:szCs w:val="28"/>
        </w:rPr>
        <w:t>施工</w:t>
      </w:r>
      <w:r>
        <w:rPr>
          <w:rFonts w:hint="eastAsia" w:ascii="仿宋" w:hAnsi="仿宋" w:eastAsia="仿宋" w:cs="仿宋"/>
          <w:bCs/>
          <w:sz w:val="28"/>
          <w:szCs w:val="28"/>
        </w:rPr>
        <w:t>及公路监理从业</w:t>
      </w:r>
      <w:r>
        <w:rPr>
          <w:rFonts w:ascii="仿宋" w:hAnsi="仿宋" w:eastAsia="仿宋" w:cs="仿宋"/>
          <w:bCs/>
          <w:sz w:val="28"/>
          <w:szCs w:val="28"/>
        </w:rPr>
        <w:t>企业信用评价结果</w:t>
      </w:r>
      <w:r>
        <w:rPr>
          <w:rFonts w:hint="eastAsia" w:ascii="仿宋" w:hAnsi="仿宋" w:eastAsia="仿宋" w:cs="仿宋"/>
          <w:bCs/>
          <w:sz w:val="28"/>
          <w:szCs w:val="28"/>
        </w:rPr>
        <w:t>应用</w:t>
      </w:r>
      <w:r>
        <w:rPr>
          <w:rFonts w:ascii="仿宋" w:hAnsi="仿宋" w:eastAsia="仿宋" w:cs="仿宋"/>
          <w:bCs/>
          <w:sz w:val="28"/>
          <w:szCs w:val="28"/>
        </w:rPr>
        <w:t>的通知》（陕交函[20</w:t>
      </w:r>
      <w:r>
        <w:rPr>
          <w:rFonts w:hint="eastAsia" w:ascii="仿宋" w:hAnsi="仿宋" w:eastAsia="仿宋" w:cs="仿宋"/>
          <w:bCs/>
          <w:sz w:val="28"/>
          <w:szCs w:val="28"/>
        </w:rPr>
        <w:t>22</w:t>
      </w:r>
      <w:r>
        <w:rPr>
          <w:rFonts w:ascii="仿宋" w:hAnsi="仿宋" w:eastAsia="仿宋" w:cs="仿宋"/>
          <w:bCs/>
          <w:sz w:val="28"/>
          <w:szCs w:val="28"/>
        </w:rPr>
        <w:t>]</w:t>
      </w:r>
      <w:r>
        <w:rPr>
          <w:rFonts w:hint="eastAsia" w:ascii="仿宋" w:hAnsi="仿宋" w:eastAsia="仿宋" w:cs="仿宋"/>
          <w:bCs/>
          <w:sz w:val="28"/>
          <w:szCs w:val="28"/>
        </w:rPr>
        <w:t>619</w:t>
      </w:r>
      <w:r>
        <w:rPr>
          <w:rFonts w:ascii="仿宋" w:hAnsi="仿宋" w:eastAsia="仿宋" w:cs="仿宋"/>
          <w:bCs/>
          <w:sz w:val="28"/>
          <w:szCs w:val="28"/>
        </w:rPr>
        <w:t>号）文件，按照交通运输部及省厅信用管理的相关规定</w:t>
      </w:r>
      <w:r>
        <w:rPr>
          <w:rFonts w:hint="eastAsia" w:ascii="仿宋" w:hAnsi="仿宋" w:eastAsia="仿宋" w:cs="仿宋"/>
          <w:bCs/>
          <w:sz w:val="28"/>
          <w:szCs w:val="28"/>
        </w:rPr>
        <w:t>：</w:t>
      </w:r>
    </w:p>
    <w:p>
      <w:pPr>
        <w:spacing w:line="520" w:lineRule="exact"/>
        <w:ind w:firstLine="548" w:firstLineChars="196"/>
        <w:rPr>
          <w:rFonts w:ascii="仿宋" w:hAnsi="仿宋" w:eastAsia="仿宋" w:cs="仿宋"/>
          <w:bCs/>
          <w:sz w:val="28"/>
          <w:szCs w:val="28"/>
        </w:rPr>
      </w:pPr>
      <w:r>
        <w:rPr>
          <w:rFonts w:hint="eastAsia" w:ascii="仿宋" w:hAnsi="仿宋" w:eastAsia="仿宋" w:cs="仿宋"/>
          <w:bCs/>
          <w:sz w:val="28"/>
          <w:szCs w:val="28"/>
        </w:rPr>
        <w:t>（1）省厅高速公路设计、施工企业信用评价结果应用于陕西省高速公路建设市场，</w:t>
      </w:r>
      <w:r>
        <w:rPr>
          <w:rFonts w:ascii="仿宋" w:hAnsi="仿宋" w:eastAsia="仿宋" w:cs="仿宋"/>
          <w:bCs/>
          <w:sz w:val="28"/>
          <w:szCs w:val="28"/>
        </w:rPr>
        <w:t>对具有陕西省20</w:t>
      </w:r>
      <w:r>
        <w:rPr>
          <w:rFonts w:hint="eastAsia" w:ascii="仿宋" w:hAnsi="仿宋" w:eastAsia="仿宋" w:cs="仿宋"/>
          <w:bCs/>
          <w:sz w:val="28"/>
          <w:szCs w:val="28"/>
        </w:rPr>
        <w:t>20</w:t>
      </w:r>
      <w:r>
        <w:rPr>
          <w:rFonts w:ascii="仿宋" w:hAnsi="仿宋" w:eastAsia="仿宋" w:cs="仿宋"/>
          <w:bCs/>
          <w:sz w:val="28"/>
          <w:szCs w:val="28"/>
        </w:rPr>
        <w:t>年度信用评价等级而无20</w:t>
      </w:r>
      <w:r>
        <w:rPr>
          <w:rFonts w:hint="eastAsia" w:ascii="仿宋" w:hAnsi="仿宋" w:eastAsia="仿宋" w:cs="仿宋"/>
          <w:bCs/>
          <w:sz w:val="28"/>
          <w:szCs w:val="28"/>
        </w:rPr>
        <w:t>21</w:t>
      </w:r>
      <w:r>
        <w:rPr>
          <w:rFonts w:ascii="仿宋" w:hAnsi="仿宋" w:eastAsia="仿宋" w:cs="仿宋"/>
          <w:bCs/>
          <w:sz w:val="28"/>
          <w:szCs w:val="28"/>
        </w:rPr>
        <w:t>年度信用评价等级的施工企业，其20</w:t>
      </w:r>
      <w:r>
        <w:rPr>
          <w:rFonts w:hint="eastAsia" w:ascii="仿宋" w:hAnsi="仿宋" w:eastAsia="仿宋" w:cs="仿宋"/>
          <w:bCs/>
          <w:sz w:val="28"/>
          <w:szCs w:val="28"/>
        </w:rPr>
        <w:t>20</w:t>
      </w:r>
      <w:r>
        <w:rPr>
          <w:rFonts w:ascii="仿宋" w:hAnsi="仿宋" w:eastAsia="仿宋" w:cs="仿宋"/>
          <w:bCs/>
          <w:sz w:val="28"/>
          <w:szCs w:val="28"/>
        </w:rPr>
        <w:t>年度信用评价等级延续1年。</w:t>
      </w:r>
    </w:p>
    <w:p>
      <w:pPr>
        <w:spacing w:line="520" w:lineRule="exact"/>
        <w:ind w:firstLine="549"/>
        <w:rPr>
          <w:rFonts w:ascii="仿宋" w:hAnsi="仿宋" w:eastAsia="仿宋" w:cs="仿宋"/>
          <w:bCs/>
          <w:sz w:val="28"/>
          <w:szCs w:val="28"/>
        </w:rPr>
      </w:pPr>
      <w:r>
        <w:rPr>
          <w:rFonts w:hint="eastAsia" w:ascii="仿宋" w:hAnsi="仿宋" w:eastAsia="仿宋" w:cs="仿宋"/>
          <w:bCs/>
          <w:sz w:val="28"/>
          <w:szCs w:val="28"/>
        </w:rPr>
        <w:t>（2）对具有陕西省2020年度信用评价等级而无2021年度信用评价等级的企业，其2020年度信用评价等级延续1年；初次进入陕西省的企业，按照全国综合评价等级确定。延续省厅上一年信用评价结果后仍无信用评价结果的，按照全国综合评价结果对待，但不得高于省厅原评价等级的上一级。无全国综合评价结果的企业，且无不良信用行为，其信用评价等级按A级对待。联合体牵头人为承担勘察设计专业分工的单位时，对应按照高速公路设计企业类别信用评价等级进行评分，为承担主体工程施工专业分工的单位时，对应按照主体工程施工类别信用评价等级进行评分。</w:t>
      </w:r>
    </w:p>
    <w:p>
      <w:pPr>
        <w:tabs>
          <w:tab w:val="left" w:pos="1778"/>
        </w:tabs>
        <w:spacing w:line="520" w:lineRule="exact"/>
        <w:ind w:firstLine="562" w:firstLineChars="200"/>
        <w:outlineLvl w:val="1"/>
        <w:rPr>
          <w:rFonts w:ascii="仿宋" w:hAnsi="仿宋" w:eastAsia="仿宋" w:cs="仿宋"/>
          <w:b/>
          <w:sz w:val="28"/>
          <w:szCs w:val="28"/>
        </w:rPr>
      </w:pPr>
      <w:r>
        <w:rPr>
          <w:rFonts w:hint="eastAsia" w:ascii="仿宋" w:hAnsi="仿宋" w:eastAsia="仿宋" w:cs="仿宋"/>
          <w:b/>
          <w:sz w:val="28"/>
          <w:szCs w:val="28"/>
        </w:rPr>
        <w:t>三、评标办法（综合评估法）</w:t>
      </w:r>
    </w:p>
    <w:tbl>
      <w:tblPr>
        <w:tblStyle w:val="40"/>
        <w:tblW w:w="9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612"/>
        <w:gridCol w:w="1788"/>
        <w:gridCol w:w="1009"/>
        <w:gridCol w:w="4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autoSpaceDE w:val="0"/>
              <w:autoSpaceDN w:val="0"/>
              <w:adjustRightInd w:val="0"/>
              <w:jc w:val="center"/>
              <w:rPr>
                <w:rFonts w:ascii="仿宋_GB2312" w:hAnsi="仿宋_GB2312" w:eastAsia="仿宋_GB2312" w:cs="仿宋_GB2312"/>
                <w:b/>
                <w:szCs w:val="21"/>
              </w:rPr>
            </w:pPr>
            <w:r>
              <w:rPr>
                <w:rFonts w:hint="eastAsia" w:ascii="仿宋_GB2312" w:hAnsi="仿宋_GB2312" w:eastAsia="仿宋_GB2312" w:cs="仿宋_GB2312"/>
                <w:b/>
                <w:szCs w:val="21"/>
              </w:rPr>
              <w:t>条款号</w:t>
            </w:r>
          </w:p>
        </w:tc>
        <w:tc>
          <w:tcPr>
            <w:tcW w:w="7412" w:type="dxa"/>
            <w:gridSpan w:val="3"/>
            <w:vAlign w:val="center"/>
          </w:tcPr>
          <w:p>
            <w:pPr>
              <w:autoSpaceDE w:val="0"/>
              <w:autoSpaceDN w:val="0"/>
              <w:adjustRightInd w:val="0"/>
              <w:ind w:firstLine="405" w:firstLineChars="192"/>
              <w:jc w:val="center"/>
              <w:rPr>
                <w:rFonts w:ascii="仿宋_GB2312" w:hAnsi="仿宋_GB2312" w:eastAsia="仿宋_GB2312" w:cs="仿宋_GB2312"/>
                <w:b/>
                <w:szCs w:val="21"/>
              </w:rPr>
            </w:pPr>
            <w:r>
              <w:rPr>
                <w:rFonts w:hint="eastAsia" w:ascii="仿宋_GB2312" w:hAnsi="仿宋_GB2312" w:eastAsia="仿宋_GB2312" w:cs="仿宋_GB2312"/>
                <w:b/>
                <w:szCs w:val="21"/>
              </w:rPr>
              <w:t>评审因素与评审标准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1</w:t>
            </w:r>
          </w:p>
        </w:tc>
        <w:tc>
          <w:tcPr>
            <w:tcW w:w="7412" w:type="dxa"/>
            <w:gridSpan w:val="3"/>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本次评标采用综合评估法。评标委员会对满足招标文件实质性要求的投标文件，按照本章第 2.2 款规定的评分标准进行打分，并按得分由高到低顺序推荐中标候选人，但投标报价低于其成本的除外。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6"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2.1.1</w:t>
            </w:r>
          </w:p>
          <w:p>
            <w:pPr>
              <w:tabs>
                <w:tab w:val="left" w:pos="1778"/>
              </w:tabs>
              <w:jc w:val="left"/>
              <w:rPr>
                <w:rFonts w:ascii="仿宋" w:hAnsi="仿宋" w:eastAsia="仿宋" w:cs="仿宋"/>
                <w:bCs/>
                <w:szCs w:val="21"/>
              </w:rPr>
            </w:pPr>
            <w:r>
              <w:rPr>
                <w:rFonts w:hint="eastAsia" w:ascii="仿宋" w:hAnsi="仿宋" w:eastAsia="仿宋" w:cs="仿宋"/>
                <w:bCs/>
                <w:szCs w:val="21"/>
              </w:rPr>
              <w:t>2.1.3</w:t>
            </w:r>
          </w:p>
        </w:tc>
        <w:tc>
          <w:tcPr>
            <w:tcW w:w="612"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形式评审与响应性评审标准</w:t>
            </w:r>
          </w:p>
        </w:tc>
        <w:tc>
          <w:tcPr>
            <w:tcW w:w="7412" w:type="dxa"/>
            <w:gridSpan w:val="3"/>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第一信封（商务及技术文件）评审标准：</w:t>
            </w:r>
          </w:p>
          <w:p>
            <w:pPr>
              <w:tabs>
                <w:tab w:val="left" w:pos="1778"/>
              </w:tabs>
              <w:jc w:val="left"/>
              <w:rPr>
                <w:rFonts w:ascii="仿宋" w:hAnsi="仿宋" w:eastAsia="仿宋" w:cs="仿宋"/>
                <w:bCs/>
                <w:szCs w:val="21"/>
              </w:rPr>
            </w:pPr>
            <w:r>
              <w:rPr>
                <w:rFonts w:hint="eastAsia" w:ascii="仿宋" w:hAnsi="仿宋" w:eastAsia="仿宋" w:cs="仿宋"/>
                <w:bCs/>
                <w:szCs w:val="21"/>
              </w:rPr>
              <w:t>（1）投标人名称与营业执照、施工资质证书及勘察设计资质证书、安全生产许可证一致；</w:t>
            </w:r>
          </w:p>
          <w:p>
            <w:pPr>
              <w:tabs>
                <w:tab w:val="left" w:pos="1778"/>
              </w:tabs>
              <w:jc w:val="left"/>
              <w:rPr>
                <w:rFonts w:ascii="仿宋" w:hAnsi="仿宋" w:eastAsia="仿宋" w:cs="仿宋"/>
                <w:bCs/>
                <w:szCs w:val="21"/>
              </w:rPr>
            </w:pPr>
            <w:r>
              <w:rPr>
                <w:rFonts w:hint="eastAsia" w:ascii="仿宋" w:hAnsi="仿宋" w:eastAsia="仿宋" w:cs="仿宋"/>
                <w:bCs/>
                <w:szCs w:val="21"/>
              </w:rPr>
              <w:t>（2）投标文件上法定代表人或其授权代理人的签字、投标人的单位章盖章齐全，符合招标文件规定；</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（3）投标文件按照招标文件规定的格式、内容填写，字迹清晰可辨：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a.投标函按招标文件规定填报了项目名称、标段号、补遗书编号（如有） 、工期、工程质量要求及安全目标；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b.投标函附录的所有数据均符合招标文件规定；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c.投标文件组成齐全完整，提供的相关资料符合招标文件规定，内容均按规定填写；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（4）投标人按照招标文件的规定提供了投标保证金；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a.投标保证金金额符合招标文件规定的金额，且投标保证金有效期不少于投标有效期；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b .若投标保证金采用现金形式提交，投标人应在递交投标文件截止时间之前，将投标保证金由投标人的基本账户一次性转入招标人指定账户；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c.若投标保证金采用银行保函形式提交，银行保函的格式、开具保函的银行均满足招标文件要求，且在递交投标文件截止时间之前向招标人提交了银行保函及权限说明（如有）原件； </w:t>
            </w:r>
          </w:p>
          <w:p>
            <w:pPr>
              <w:tabs>
                <w:tab w:val="left" w:pos="1778"/>
              </w:tabs>
              <w:jc w:val="left"/>
              <w:rPr>
                <w:rFonts w:ascii="仿宋" w:hAnsi="仿宋" w:eastAsia="仿宋" w:cs="仿宋"/>
                <w:bCs/>
                <w:szCs w:val="21"/>
              </w:rPr>
            </w:pPr>
            <w:r>
              <w:rPr>
                <w:rFonts w:hint="eastAsia" w:ascii="仿宋" w:hAnsi="仿宋" w:eastAsia="仿宋" w:cs="仿宋"/>
                <w:bCs/>
                <w:szCs w:val="21"/>
              </w:rPr>
              <w:t>（5）投标人法定代表人授权委托代理人签署投标文件的，需提交授权委托书，且授权人和被授权人均在授权委托书上按招标文件规定签字或盖章；</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（6）投标人法定代表人亲自签署投标文件的，提供了法定代表人身份证明，且法定代表人在法定代表人身份证明上按招标文件规定签字或盖章。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（7）投标人以联合体投标时，联合体满足招标文件的要求：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a.投标人按照招标文件提供的格式签订了联合体协议书，明确各方承担连带责任，并明确了联合体牵头人，且联合体的组成符合招标文件规定； </w:t>
            </w:r>
          </w:p>
          <w:p>
            <w:pPr>
              <w:tabs>
                <w:tab w:val="left" w:pos="1778"/>
              </w:tabs>
              <w:jc w:val="left"/>
              <w:rPr>
                <w:rFonts w:ascii="仿宋" w:hAnsi="仿宋" w:eastAsia="仿宋" w:cs="仿宋"/>
                <w:bCs/>
                <w:szCs w:val="21"/>
              </w:rPr>
            </w:pPr>
            <w:r>
              <w:rPr>
                <w:rFonts w:hint="eastAsia" w:ascii="仿宋" w:hAnsi="仿宋" w:eastAsia="仿宋" w:cs="仿宋"/>
                <w:bCs/>
                <w:szCs w:val="21"/>
              </w:rPr>
              <w:t>b.联合体各方分别按照招标文件要求，填报投标文件中的相应资料；</w:t>
            </w:r>
          </w:p>
          <w:p>
            <w:pPr>
              <w:tabs>
                <w:tab w:val="left" w:pos="1778"/>
              </w:tabs>
              <w:jc w:val="left"/>
              <w:rPr>
                <w:rFonts w:ascii="仿宋" w:hAnsi="仿宋" w:eastAsia="仿宋" w:cs="仿宋"/>
                <w:bCs/>
                <w:szCs w:val="21"/>
              </w:rPr>
            </w:pPr>
            <w:r>
              <w:rPr>
                <w:rFonts w:hint="eastAsia" w:ascii="仿宋" w:hAnsi="仿宋" w:eastAsia="仿宋" w:cs="仿宋"/>
                <w:bCs/>
                <w:szCs w:val="21"/>
              </w:rPr>
              <w:t>（8）投标人分包符合招标文件规定；</w:t>
            </w:r>
          </w:p>
          <w:p>
            <w:pPr>
              <w:tabs>
                <w:tab w:val="left" w:pos="1778"/>
              </w:tabs>
              <w:jc w:val="left"/>
              <w:rPr>
                <w:rFonts w:ascii="仿宋" w:hAnsi="仿宋" w:eastAsia="仿宋" w:cs="仿宋"/>
                <w:bCs/>
                <w:szCs w:val="21"/>
              </w:rPr>
            </w:pPr>
            <w:r>
              <w:rPr>
                <w:rFonts w:hint="eastAsia" w:ascii="仿宋" w:hAnsi="仿宋" w:eastAsia="仿宋" w:cs="仿宋"/>
                <w:bCs/>
                <w:szCs w:val="21"/>
              </w:rPr>
              <w:t>（9）同一投标人未提交两个以上不同的投标文件。</w:t>
            </w:r>
          </w:p>
          <w:p>
            <w:pPr>
              <w:tabs>
                <w:tab w:val="left" w:pos="1778"/>
              </w:tabs>
              <w:jc w:val="left"/>
              <w:rPr>
                <w:rFonts w:ascii="仿宋" w:hAnsi="仿宋" w:eastAsia="仿宋" w:cs="仿宋"/>
                <w:bCs/>
                <w:szCs w:val="21"/>
              </w:rPr>
            </w:pPr>
            <w:r>
              <w:rPr>
                <w:rFonts w:hint="eastAsia" w:ascii="仿宋" w:hAnsi="仿宋" w:eastAsia="仿宋" w:cs="仿宋"/>
                <w:bCs/>
                <w:szCs w:val="21"/>
              </w:rPr>
              <w:t>（10）投标文件中未出现有关投标报价的内容。</w:t>
            </w:r>
          </w:p>
          <w:p>
            <w:pPr>
              <w:tabs>
                <w:tab w:val="left" w:pos="1778"/>
              </w:tabs>
              <w:jc w:val="left"/>
              <w:rPr>
                <w:rFonts w:ascii="仿宋" w:hAnsi="仿宋" w:eastAsia="仿宋" w:cs="仿宋"/>
                <w:bCs/>
                <w:szCs w:val="21"/>
              </w:rPr>
            </w:pPr>
            <w:r>
              <w:rPr>
                <w:rFonts w:hint="eastAsia" w:ascii="仿宋" w:hAnsi="仿宋" w:eastAsia="仿宋" w:cs="仿宋"/>
                <w:bCs/>
                <w:szCs w:val="21"/>
              </w:rPr>
              <w:t>（11）投标文件载明的招标项目完成期限未超过招标文件规定的时限；</w:t>
            </w:r>
          </w:p>
          <w:p>
            <w:pPr>
              <w:tabs>
                <w:tab w:val="left" w:pos="1778"/>
              </w:tabs>
              <w:jc w:val="left"/>
              <w:rPr>
                <w:rFonts w:ascii="仿宋" w:hAnsi="仿宋" w:eastAsia="仿宋" w:cs="仿宋"/>
                <w:bCs/>
                <w:szCs w:val="21"/>
              </w:rPr>
            </w:pPr>
            <w:r>
              <w:rPr>
                <w:rFonts w:hint="eastAsia" w:ascii="仿宋" w:hAnsi="仿宋" w:eastAsia="仿宋" w:cs="仿宋"/>
                <w:bCs/>
                <w:szCs w:val="21"/>
              </w:rPr>
              <w:t>（12）投标文件对招标文件的实质性要求和条件作出响应；</w:t>
            </w:r>
          </w:p>
          <w:p>
            <w:pPr>
              <w:tabs>
                <w:tab w:val="left" w:pos="1778"/>
              </w:tabs>
              <w:jc w:val="left"/>
              <w:rPr>
                <w:rFonts w:ascii="仿宋" w:hAnsi="仿宋" w:eastAsia="仿宋" w:cs="仿宋"/>
                <w:bCs/>
                <w:szCs w:val="21"/>
              </w:rPr>
            </w:pPr>
            <w:r>
              <w:rPr>
                <w:rFonts w:hint="eastAsia" w:ascii="仿宋" w:hAnsi="仿宋" w:eastAsia="仿宋" w:cs="仿宋"/>
                <w:bCs/>
                <w:szCs w:val="21"/>
              </w:rPr>
              <w:t>（13）权利义务符合招标文件规定：</w:t>
            </w:r>
          </w:p>
          <w:p>
            <w:pPr>
              <w:tabs>
                <w:tab w:val="left" w:pos="1778"/>
              </w:tabs>
              <w:jc w:val="left"/>
              <w:rPr>
                <w:rFonts w:ascii="仿宋" w:hAnsi="仿宋" w:eastAsia="仿宋" w:cs="仿宋"/>
                <w:bCs/>
                <w:szCs w:val="21"/>
              </w:rPr>
            </w:pPr>
            <w:r>
              <w:rPr>
                <w:rFonts w:hint="eastAsia" w:ascii="仿宋" w:hAnsi="仿宋" w:eastAsia="仿宋" w:cs="仿宋"/>
                <w:bCs/>
                <w:szCs w:val="21"/>
              </w:rPr>
              <w:t>a.投标人应接受招标文件规定的风险划分原则，未提出新的风险划分办法；</w:t>
            </w:r>
          </w:p>
          <w:p>
            <w:pPr>
              <w:tabs>
                <w:tab w:val="left" w:pos="1778"/>
              </w:tabs>
              <w:jc w:val="left"/>
              <w:rPr>
                <w:rFonts w:ascii="仿宋" w:hAnsi="仿宋" w:eastAsia="仿宋" w:cs="仿宋"/>
                <w:bCs/>
                <w:szCs w:val="21"/>
              </w:rPr>
            </w:pPr>
            <w:r>
              <w:rPr>
                <w:rFonts w:hint="eastAsia" w:ascii="仿宋" w:hAnsi="仿宋" w:eastAsia="仿宋" w:cs="仿宋"/>
                <w:bCs/>
                <w:szCs w:val="21"/>
              </w:rPr>
              <w:t>b.投标人未增加发包人的责任范围，或减少投标人义务；</w:t>
            </w:r>
          </w:p>
          <w:p>
            <w:pPr>
              <w:tabs>
                <w:tab w:val="left" w:pos="1778"/>
              </w:tabs>
              <w:jc w:val="left"/>
              <w:rPr>
                <w:rFonts w:ascii="仿宋" w:hAnsi="仿宋" w:eastAsia="仿宋" w:cs="仿宋"/>
                <w:bCs/>
                <w:szCs w:val="21"/>
              </w:rPr>
            </w:pPr>
            <w:r>
              <w:rPr>
                <w:rFonts w:hint="eastAsia" w:ascii="仿宋" w:hAnsi="仿宋" w:eastAsia="仿宋" w:cs="仿宋"/>
                <w:bCs/>
                <w:szCs w:val="21"/>
              </w:rPr>
              <w:t>c.投标人未提出不同的工程验收、计量、支付办法；</w:t>
            </w:r>
          </w:p>
          <w:p>
            <w:pPr>
              <w:tabs>
                <w:tab w:val="left" w:pos="1778"/>
              </w:tabs>
              <w:jc w:val="left"/>
              <w:rPr>
                <w:rFonts w:ascii="仿宋" w:hAnsi="仿宋" w:eastAsia="仿宋" w:cs="仿宋"/>
                <w:bCs/>
                <w:szCs w:val="21"/>
              </w:rPr>
            </w:pPr>
            <w:r>
              <w:rPr>
                <w:rFonts w:hint="eastAsia" w:ascii="仿宋" w:hAnsi="仿宋" w:eastAsia="仿宋" w:cs="仿宋"/>
                <w:bCs/>
                <w:szCs w:val="21"/>
              </w:rPr>
              <w:t>d.投标人对合同纠纷、事故处理办法未提出异议；</w:t>
            </w:r>
          </w:p>
          <w:p>
            <w:pPr>
              <w:tabs>
                <w:tab w:val="left" w:pos="1778"/>
              </w:tabs>
              <w:jc w:val="left"/>
              <w:rPr>
                <w:rFonts w:ascii="仿宋" w:hAnsi="仿宋" w:eastAsia="仿宋" w:cs="仿宋"/>
                <w:bCs/>
                <w:szCs w:val="21"/>
              </w:rPr>
            </w:pPr>
            <w:r>
              <w:rPr>
                <w:rFonts w:hint="eastAsia" w:ascii="仿宋" w:hAnsi="仿宋" w:eastAsia="仿宋" w:cs="仿宋"/>
                <w:bCs/>
                <w:szCs w:val="21"/>
              </w:rPr>
              <w:t>e.投标人在投标活动中无欺诈行为；</w:t>
            </w:r>
          </w:p>
          <w:p>
            <w:pPr>
              <w:tabs>
                <w:tab w:val="left" w:pos="1778"/>
              </w:tabs>
              <w:jc w:val="left"/>
              <w:rPr>
                <w:rFonts w:ascii="仿宋" w:hAnsi="仿宋" w:eastAsia="仿宋" w:cs="仿宋"/>
                <w:bCs/>
                <w:szCs w:val="21"/>
              </w:rPr>
            </w:pPr>
            <w:r>
              <w:rPr>
                <w:rFonts w:hint="eastAsia" w:ascii="仿宋" w:hAnsi="仿宋" w:eastAsia="仿宋" w:cs="仿宋"/>
                <w:bCs/>
                <w:szCs w:val="21"/>
              </w:rPr>
              <w:t>f.投标人未对合同条款有重要保留；</w:t>
            </w:r>
          </w:p>
          <w:p>
            <w:pPr>
              <w:tabs>
                <w:tab w:val="left" w:pos="1778"/>
              </w:tabs>
              <w:jc w:val="left"/>
              <w:rPr>
                <w:rFonts w:ascii="仿宋" w:hAnsi="仿宋" w:eastAsia="仿宋" w:cs="仿宋"/>
                <w:bCs/>
                <w:szCs w:val="21"/>
              </w:rPr>
            </w:pPr>
            <w:r>
              <w:rPr>
                <w:rFonts w:hint="eastAsia" w:ascii="仿宋" w:hAnsi="仿宋" w:eastAsia="仿宋" w:cs="仿宋"/>
                <w:bCs/>
                <w:szCs w:val="21"/>
              </w:rPr>
              <w:t>（14）投标有效期符合招标文件规定；</w:t>
            </w:r>
          </w:p>
          <w:p>
            <w:pPr>
              <w:tabs>
                <w:tab w:val="left" w:pos="1778"/>
              </w:tabs>
              <w:jc w:val="left"/>
              <w:rPr>
                <w:rFonts w:ascii="仿宋" w:hAnsi="仿宋" w:eastAsia="仿宋" w:cs="仿宋"/>
                <w:bCs/>
                <w:szCs w:val="21"/>
              </w:rPr>
            </w:pPr>
            <w:r>
              <w:rPr>
                <w:rFonts w:hint="eastAsia" w:ascii="仿宋" w:hAnsi="仿宋" w:eastAsia="仿宋" w:cs="仿宋"/>
                <w:bCs/>
                <w:szCs w:val="21"/>
              </w:rPr>
              <w:t>第二信封（报价文件）评审标准：</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（1）投标文件按照招标文件规定的格式、内容填写，字迹清晰可辩； </w:t>
            </w:r>
          </w:p>
          <w:p>
            <w:pPr>
              <w:tabs>
                <w:tab w:val="left" w:pos="1778"/>
              </w:tabs>
              <w:jc w:val="left"/>
              <w:rPr>
                <w:rFonts w:ascii="仿宋" w:hAnsi="仿宋" w:eastAsia="仿宋" w:cs="仿宋"/>
                <w:bCs/>
                <w:szCs w:val="21"/>
              </w:rPr>
            </w:pPr>
            <w:r>
              <w:rPr>
                <w:rFonts w:hint="eastAsia" w:ascii="仿宋" w:hAnsi="仿宋" w:eastAsia="仿宋" w:cs="仿宋"/>
                <w:bCs/>
                <w:szCs w:val="21"/>
              </w:rPr>
              <w:t>a.投标函按招标文件规定填报了项目名称、标段号、补遗书编号（如有）、投标价（包括大写金额和小写金额）；</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b.价格清单说明文字与招标文件规定一致，未进行实质性修改和删减；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c.投标文件组成齐全完整，提供的相关资料符合招标文件规定，内容均按规定填写； </w:t>
            </w:r>
          </w:p>
          <w:p>
            <w:pPr>
              <w:tabs>
                <w:tab w:val="left" w:pos="1778"/>
              </w:tabs>
              <w:jc w:val="left"/>
              <w:rPr>
                <w:rFonts w:ascii="仿宋" w:hAnsi="仿宋" w:eastAsia="仿宋" w:cs="仿宋"/>
                <w:bCs/>
                <w:szCs w:val="21"/>
              </w:rPr>
            </w:pPr>
            <w:r>
              <w:rPr>
                <w:rFonts w:hint="eastAsia" w:ascii="仿宋" w:hAnsi="仿宋" w:eastAsia="仿宋" w:cs="仿宋"/>
                <w:bCs/>
                <w:szCs w:val="21"/>
              </w:rPr>
              <w:t>（2）投标文件上法定代表人或其委托代理人的签字或盖章、投标人的单位盖章齐全，符合招标文件规定；</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（3）投标报价未超过招标文件设定的最高投标限价（包括各分项限价，如有）； </w:t>
            </w:r>
          </w:p>
          <w:p>
            <w:pPr>
              <w:tabs>
                <w:tab w:val="left" w:pos="1778"/>
              </w:tabs>
              <w:jc w:val="left"/>
              <w:rPr>
                <w:rFonts w:ascii="仿宋" w:hAnsi="仿宋" w:eastAsia="仿宋" w:cs="仿宋"/>
                <w:bCs/>
                <w:szCs w:val="21"/>
              </w:rPr>
            </w:pPr>
            <w:r>
              <w:rPr>
                <w:rFonts w:hint="eastAsia" w:ascii="仿宋" w:hAnsi="仿宋" w:eastAsia="仿宋" w:cs="仿宋"/>
                <w:bCs/>
                <w:szCs w:val="21"/>
              </w:rPr>
              <w:t>（4）投标报价的大写金额能够确定具体数值；</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（5）同一投标人未提交两个以上不同的投标报价； </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（6）投标人未提交调价函。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6"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2.1.2</w:t>
            </w:r>
          </w:p>
        </w:tc>
        <w:tc>
          <w:tcPr>
            <w:tcW w:w="612"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资格评审标准</w:t>
            </w:r>
          </w:p>
        </w:tc>
        <w:tc>
          <w:tcPr>
            <w:tcW w:w="7412" w:type="dxa"/>
            <w:gridSpan w:val="3"/>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（1）投标人具备有效的营业执照、施工资质证书或勘察设计资质证书、安全生产许可证和基本账户开户许可证；</w:t>
            </w:r>
          </w:p>
          <w:p>
            <w:pPr>
              <w:tabs>
                <w:tab w:val="left" w:pos="1778"/>
              </w:tabs>
              <w:jc w:val="left"/>
              <w:rPr>
                <w:rFonts w:ascii="仿宋" w:hAnsi="仿宋" w:eastAsia="仿宋" w:cs="仿宋"/>
                <w:bCs/>
                <w:szCs w:val="21"/>
              </w:rPr>
            </w:pPr>
            <w:r>
              <w:rPr>
                <w:rFonts w:hint="eastAsia" w:ascii="仿宋" w:hAnsi="仿宋" w:eastAsia="仿宋" w:cs="仿宋"/>
                <w:bCs/>
                <w:szCs w:val="21"/>
              </w:rPr>
              <w:t>（2）投标人的资质名录符合第二章“投标人须知”第9.2项规定；</w:t>
            </w:r>
          </w:p>
          <w:p>
            <w:pPr>
              <w:tabs>
                <w:tab w:val="left" w:pos="1778"/>
              </w:tabs>
              <w:jc w:val="left"/>
              <w:rPr>
                <w:rFonts w:ascii="仿宋" w:hAnsi="仿宋" w:eastAsia="仿宋" w:cs="仿宋"/>
                <w:bCs/>
                <w:szCs w:val="21"/>
              </w:rPr>
            </w:pPr>
            <w:r>
              <w:rPr>
                <w:rFonts w:hint="eastAsia" w:ascii="仿宋" w:hAnsi="仿宋" w:eastAsia="仿宋" w:cs="仿宋"/>
                <w:bCs/>
                <w:szCs w:val="21"/>
              </w:rPr>
              <w:t>（3）投标人的资质等级符合第二章“投标人须知”第1.4.1项规定；</w:t>
            </w:r>
          </w:p>
          <w:p>
            <w:pPr>
              <w:tabs>
                <w:tab w:val="left" w:pos="1778"/>
              </w:tabs>
              <w:jc w:val="left"/>
              <w:rPr>
                <w:rFonts w:ascii="仿宋" w:hAnsi="仿宋" w:eastAsia="仿宋" w:cs="仿宋"/>
                <w:bCs/>
                <w:szCs w:val="21"/>
              </w:rPr>
            </w:pPr>
            <w:r>
              <w:rPr>
                <w:rFonts w:hint="eastAsia" w:ascii="仿宋" w:hAnsi="仿宋" w:eastAsia="仿宋" w:cs="仿宋"/>
                <w:bCs/>
                <w:szCs w:val="21"/>
              </w:rPr>
              <w:t>（4）投标人的财务状况符合第二章“投标人须知”第1.4.1项规定；</w:t>
            </w:r>
          </w:p>
          <w:p>
            <w:pPr>
              <w:tabs>
                <w:tab w:val="left" w:pos="1778"/>
              </w:tabs>
              <w:jc w:val="left"/>
              <w:rPr>
                <w:rFonts w:ascii="仿宋" w:hAnsi="仿宋" w:eastAsia="仿宋" w:cs="仿宋"/>
                <w:bCs/>
                <w:szCs w:val="21"/>
              </w:rPr>
            </w:pPr>
            <w:r>
              <w:rPr>
                <w:rFonts w:hint="eastAsia" w:ascii="仿宋" w:hAnsi="仿宋" w:eastAsia="仿宋" w:cs="仿宋"/>
                <w:bCs/>
                <w:szCs w:val="21"/>
              </w:rPr>
              <w:t>（5）投标人的类似项目业绩符合第二章“投标人须知”第1.4.1项规定；</w:t>
            </w:r>
          </w:p>
          <w:p>
            <w:pPr>
              <w:tabs>
                <w:tab w:val="left" w:pos="1778"/>
              </w:tabs>
              <w:jc w:val="left"/>
              <w:rPr>
                <w:rFonts w:ascii="仿宋" w:hAnsi="仿宋" w:eastAsia="仿宋" w:cs="仿宋"/>
                <w:bCs/>
                <w:szCs w:val="21"/>
              </w:rPr>
            </w:pPr>
            <w:r>
              <w:rPr>
                <w:rFonts w:hint="eastAsia" w:ascii="仿宋" w:hAnsi="仿宋" w:eastAsia="仿宋" w:cs="仿宋"/>
                <w:bCs/>
                <w:szCs w:val="21"/>
              </w:rPr>
              <w:t>（6）投标人的信誉符合第二章“投标人须知”第1.4.1项规定；</w:t>
            </w:r>
          </w:p>
          <w:p>
            <w:pPr>
              <w:tabs>
                <w:tab w:val="left" w:pos="1778"/>
              </w:tabs>
              <w:jc w:val="left"/>
              <w:rPr>
                <w:rFonts w:ascii="仿宋" w:hAnsi="仿宋" w:eastAsia="仿宋" w:cs="仿宋"/>
                <w:bCs/>
                <w:szCs w:val="21"/>
              </w:rPr>
            </w:pPr>
            <w:r>
              <w:rPr>
                <w:rFonts w:hint="eastAsia" w:ascii="仿宋" w:hAnsi="仿宋" w:eastAsia="仿宋" w:cs="仿宋"/>
                <w:bCs/>
                <w:szCs w:val="21"/>
              </w:rPr>
              <w:t>（7）投标人的项目主要管理人员资格符合第二章“投标人须知”第1.4.1项规定；</w:t>
            </w:r>
          </w:p>
          <w:p>
            <w:pPr>
              <w:tabs>
                <w:tab w:val="left" w:pos="1778"/>
              </w:tabs>
              <w:jc w:val="left"/>
              <w:rPr>
                <w:rFonts w:ascii="仿宋" w:hAnsi="仿宋" w:eastAsia="仿宋" w:cs="仿宋"/>
                <w:bCs/>
                <w:szCs w:val="21"/>
              </w:rPr>
            </w:pPr>
            <w:r>
              <w:rPr>
                <w:rFonts w:hint="eastAsia" w:ascii="仿宋" w:hAnsi="仿宋" w:eastAsia="仿宋" w:cs="仿宋"/>
                <w:bCs/>
                <w:szCs w:val="21"/>
              </w:rPr>
              <w:t>（8）投标人的其他要求符合第二章“投标人须知”第1.4.1项规定；</w:t>
            </w:r>
          </w:p>
          <w:p>
            <w:pPr>
              <w:tabs>
                <w:tab w:val="left" w:pos="1778"/>
              </w:tabs>
              <w:jc w:val="left"/>
              <w:rPr>
                <w:rFonts w:ascii="仿宋" w:hAnsi="仿宋" w:eastAsia="仿宋" w:cs="仿宋"/>
                <w:bCs/>
                <w:szCs w:val="21"/>
              </w:rPr>
            </w:pPr>
            <w:r>
              <w:rPr>
                <w:rFonts w:hint="eastAsia" w:ascii="仿宋" w:hAnsi="仿宋" w:eastAsia="仿宋" w:cs="仿宋"/>
                <w:bCs/>
                <w:szCs w:val="21"/>
              </w:rPr>
              <w:t>（9）以联合体形式参与投标的，联合体各方均未再以自己名义单独或参加其他联合体在同一标段中投标；独立参与投标的，投标人未同时参加联合体在同一标段中投标。</w:t>
            </w:r>
          </w:p>
          <w:p>
            <w:pPr>
              <w:tabs>
                <w:tab w:val="left" w:pos="1778"/>
              </w:tabs>
              <w:jc w:val="left"/>
              <w:rPr>
                <w:rFonts w:ascii="仿宋" w:hAnsi="仿宋" w:eastAsia="仿宋" w:cs="仿宋"/>
                <w:bCs/>
                <w:szCs w:val="21"/>
              </w:rPr>
            </w:pPr>
            <w:r>
              <w:rPr>
                <w:rFonts w:hint="eastAsia" w:ascii="仿宋" w:hAnsi="仿宋" w:eastAsia="仿宋" w:cs="仿宋"/>
                <w:bCs/>
                <w:szCs w:val="21"/>
              </w:rPr>
              <w:t>（10）投标人不存在第二章“投标人须知”第1.4.3项规定的任何一种情形。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autoSpaceDE w:val="0"/>
              <w:autoSpaceDN w:val="0"/>
              <w:adjustRightInd w:val="0"/>
              <w:jc w:val="center"/>
              <w:rPr>
                <w:rFonts w:ascii="仿宋_GB2312" w:hAnsi="仿宋_GB2312" w:eastAsia="仿宋_GB2312" w:cs="仿宋_GB2312"/>
                <w:b/>
                <w:szCs w:val="21"/>
              </w:rPr>
            </w:pPr>
            <w:r>
              <w:rPr>
                <w:rFonts w:hint="eastAsia" w:ascii="仿宋_GB2312" w:hAnsi="仿宋_GB2312" w:eastAsia="仿宋_GB2312" w:cs="仿宋_GB2312"/>
                <w:b/>
                <w:szCs w:val="21"/>
              </w:rPr>
              <w:t>条款号</w:t>
            </w:r>
          </w:p>
        </w:tc>
        <w:tc>
          <w:tcPr>
            <w:tcW w:w="1788" w:type="dxa"/>
            <w:vAlign w:val="center"/>
          </w:tcPr>
          <w:p>
            <w:pPr>
              <w:autoSpaceDE w:val="0"/>
              <w:autoSpaceDN w:val="0"/>
              <w:adjustRightInd w:val="0"/>
              <w:snapToGrid w:val="0"/>
              <w:jc w:val="center"/>
              <w:rPr>
                <w:rFonts w:ascii="仿宋_GB2312" w:hAnsi="仿宋_GB2312" w:eastAsia="仿宋_GB2312" w:cs="仿宋_GB2312"/>
                <w:b/>
                <w:szCs w:val="21"/>
              </w:rPr>
            </w:pPr>
            <w:r>
              <w:rPr>
                <w:rFonts w:hint="eastAsia" w:ascii="仿宋_GB2312" w:hAnsi="仿宋_GB2312" w:eastAsia="仿宋_GB2312" w:cs="仿宋_GB2312"/>
                <w:b/>
                <w:szCs w:val="21"/>
              </w:rPr>
              <w:t>条款内容</w:t>
            </w:r>
          </w:p>
        </w:tc>
        <w:tc>
          <w:tcPr>
            <w:tcW w:w="5624" w:type="dxa"/>
            <w:gridSpan w:val="2"/>
            <w:vAlign w:val="center"/>
          </w:tcPr>
          <w:p>
            <w:pPr>
              <w:autoSpaceDE w:val="0"/>
              <w:autoSpaceDN w:val="0"/>
              <w:adjustRightInd w:val="0"/>
              <w:snapToGrid w:val="0"/>
              <w:jc w:val="center"/>
              <w:rPr>
                <w:rFonts w:ascii="仿宋_GB2312" w:hAnsi="仿宋_GB2312" w:eastAsia="仿宋_GB2312" w:cs="仿宋_GB2312"/>
                <w:b/>
                <w:szCs w:val="21"/>
              </w:rPr>
            </w:pPr>
            <w:r>
              <w:rPr>
                <w:rFonts w:hint="eastAsia" w:ascii="仿宋_GB2312" w:hAnsi="仿宋_GB2312" w:eastAsia="仿宋_GB2312" w:cs="仿宋_GB2312"/>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2.2.1</w:t>
            </w:r>
          </w:p>
        </w:tc>
        <w:tc>
          <w:tcPr>
            <w:tcW w:w="1788"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分值构成</w:t>
            </w:r>
          </w:p>
          <w:p>
            <w:pPr>
              <w:tabs>
                <w:tab w:val="left" w:pos="1778"/>
              </w:tabs>
              <w:jc w:val="left"/>
              <w:rPr>
                <w:rFonts w:ascii="仿宋" w:hAnsi="仿宋" w:eastAsia="仿宋" w:cs="仿宋"/>
                <w:bCs/>
                <w:szCs w:val="21"/>
              </w:rPr>
            </w:pPr>
            <w:r>
              <w:rPr>
                <w:rFonts w:hint="eastAsia" w:ascii="仿宋" w:hAnsi="仿宋" w:eastAsia="仿宋" w:cs="仿宋"/>
                <w:bCs/>
                <w:szCs w:val="21"/>
              </w:rPr>
              <w:t>(总分100分)</w:t>
            </w:r>
          </w:p>
        </w:tc>
        <w:tc>
          <w:tcPr>
            <w:tcW w:w="5624"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1、项目管理机构：5分</w:t>
            </w:r>
          </w:p>
          <w:p>
            <w:pPr>
              <w:tabs>
                <w:tab w:val="left" w:pos="1778"/>
              </w:tabs>
              <w:jc w:val="left"/>
              <w:rPr>
                <w:rFonts w:ascii="仿宋" w:hAnsi="仿宋" w:eastAsia="仿宋" w:cs="仿宋"/>
                <w:bCs/>
                <w:szCs w:val="21"/>
              </w:rPr>
            </w:pPr>
            <w:r>
              <w:rPr>
                <w:rFonts w:hint="eastAsia" w:ascii="仿宋" w:hAnsi="仿宋" w:eastAsia="仿宋" w:cs="仿宋"/>
                <w:bCs/>
                <w:szCs w:val="21"/>
              </w:rPr>
              <w:t>其中：a.管理机构设置：1分</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      b.主要管理人员:4分</w:t>
            </w:r>
          </w:p>
          <w:p>
            <w:pPr>
              <w:tabs>
                <w:tab w:val="left" w:pos="1778"/>
              </w:tabs>
              <w:jc w:val="left"/>
              <w:rPr>
                <w:rFonts w:ascii="仿宋" w:hAnsi="仿宋" w:eastAsia="仿宋" w:cs="仿宋"/>
                <w:bCs/>
                <w:szCs w:val="21"/>
              </w:rPr>
            </w:pPr>
            <w:r>
              <w:rPr>
                <w:rFonts w:hint="eastAsia" w:ascii="仿宋" w:hAnsi="仿宋" w:eastAsia="仿宋" w:cs="仿宋"/>
                <w:bCs/>
                <w:szCs w:val="21"/>
              </w:rPr>
              <w:t>2、业绩及技术能力：7分</w:t>
            </w:r>
          </w:p>
          <w:p>
            <w:pPr>
              <w:tabs>
                <w:tab w:val="left" w:pos="1778"/>
              </w:tabs>
              <w:jc w:val="left"/>
              <w:rPr>
                <w:rFonts w:ascii="仿宋" w:hAnsi="仿宋" w:eastAsia="仿宋" w:cs="仿宋"/>
                <w:bCs/>
                <w:szCs w:val="21"/>
              </w:rPr>
            </w:pPr>
            <w:r>
              <w:rPr>
                <w:rFonts w:hint="eastAsia" w:ascii="仿宋" w:hAnsi="仿宋" w:eastAsia="仿宋" w:cs="仿宋"/>
                <w:bCs/>
                <w:szCs w:val="21"/>
              </w:rPr>
              <w:t>其中：a.业绩：6分</w:t>
            </w:r>
          </w:p>
          <w:p>
            <w:pPr>
              <w:tabs>
                <w:tab w:val="left" w:pos="1778"/>
              </w:tabs>
              <w:jc w:val="left"/>
              <w:rPr>
                <w:rFonts w:ascii="仿宋" w:hAnsi="仿宋" w:eastAsia="仿宋" w:cs="仿宋"/>
                <w:bCs/>
                <w:szCs w:val="21"/>
              </w:rPr>
            </w:pPr>
            <w:r>
              <w:rPr>
                <w:rFonts w:hint="eastAsia" w:ascii="仿宋" w:hAnsi="仿宋" w:eastAsia="仿宋" w:cs="仿宋"/>
                <w:bCs/>
                <w:szCs w:val="21"/>
              </w:rPr>
              <w:t xml:space="preserve">      b.科研技术：1分</w:t>
            </w:r>
          </w:p>
          <w:p>
            <w:pPr>
              <w:tabs>
                <w:tab w:val="left" w:pos="1778"/>
              </w:tabs>
              <w:jc w:val="left"/>
              <w:rPr>
                <w:rFonts w:ascii="仿宋" w:hAnsi="仿宋" w:eastAsia="仿宋" w:cs="仿宋"/>
                <w:bCs/>
                <w:szCs w:val="21"/>
              </w:rPr>
            </w:pPr>
            <w:r>
              <w:rPr>
                <w:rFonts w:hint="eastAsia" w:ascii="仿宋" w:hAnsi="仿宋" w:eastAsia="仿宋" w:cs="仿宋"/>
                <w:bCs/>
                <w:szCs w:val="21"/>
              </w:rPr>
              <w:t>3、财务能力：3分</w:t>
            </w:r>
          </w:p>
          <w:p>
            <w:pPr>
              <w:tabs>
                <w:tab w:val="left" w:pos="1778"/>
              </w:tabs>
              <w:jc w:val="left"/>
              <w:rPr>
                <w:rFonts w:ascii="仿宋" w:hAnsi="仿宋" w:eastAsia="仿宋" w:cs="仿宋"/>
                <w:bCs/>
                <w:szCs w:val="21"/>
              </w:rPr>
            </w:pPr>
            <w:r>
              <w:rPr>
                <w:rFonts w:hint="eastAsia" w:ascii="仿宋" w:hAnsi="仿宋" w:eastAsia="仿宋" w:cs="仿宋"/>
                <w:bCs/>
                <w:szCs w:val="21"/>
              </w:rPr>
              <w:t>4、设计文件的优化建议和设计技术方案：10分</w:t>
            </w:r>
          </w:p>
          <w:p>
            <w:pPr>
              <w:tabs>
                <w:tab w:val="left" w:pos="1778"/>
              </w:tabs>
              <w:jc w:val="left"/>
              <w:rPr>
                <w:rFonts w:ascii="仿宋" w:hAnsi="仿宋" w:eastAsia="仿宋" w:cs="仿宋"/>
                <w:bCs/>
                <w:szCs w:val="21"/>
              </w:rPr>
            </w:pPr>
            <w:r>
              <w:rPr>
                <w:rFonts w:hint="eastAsia" w:ascii="仿宋" w:hAnsi="仿宋" w:eastAsia="仿宋" w:cs="仿宋"/>
                <w:bCs/>
                <w:szCs w:val="21"/>
              </w:rPr>
              <w:t>5、设计施工总承包管理方案：10分</w:t>
            </w:r>
          </w:p>
          <w:p>
            <w:pPr>
              <w:tabs>
                <w:tab w:val="left" w:pos="1778"/>
              </w:tabs>
              <w:jc w:val="left"/>
              <w:rPr>
                <w:rFonts w:ascii="仿宋" w:hAnsi="仿宋" w:eastAsia="仿宋" w:cs="仿宋"/>
                <w:bCs/>
                <w:szCs w:val="21"/>
              </w:rPr>
            </w:pPr>
            <w:r>
              <w:rPr>
                <w:rFonts w:hint="eastAsia" w:ascii="仿宋" w:hAnsi="仿宋" w:eastAsia="仿宋" w:cs="仿宋"/>
                <w:bCs/>
                <w:szCs w:val="21"/>
              </w:rPr>
              <w:t>6、施工组织设计：10分</w:t>
            </w:r>
          </w:p>
          <w:p>
            <w:pPr>
              <w:tabs>
                <w:tab w:val="left" w:pos="1778"/>
              </w:tabs>
              <w:jc w:val="left"/>
              <w:rPr>
                <w:rFonts w:ascii="仿宋" w:hAnsi="仿宋" w:eastAsia="仿宋" w:cs="仿宋"/>
                <w:bCs/>
                <w:szCs w:val="21"/>
              </w:rPr>
            </w:pPr>
            <w:r>
              <w:rPr>
                <w:rFonts w:hint="eastAsia" w:ascii="仿宋" w:hAnsi="仿宋" w:eastAsia="仿宋" w:cs="仿宋"/>
                <w:bCs/>
                <w:szCs w:val="21"/>
              </w:rPr>
              <w:t>7、履约信誉：5分</w:t>
            </w:r>
          </w:p>
          <w:p>
            <w:pPr>
              <w:tabs>
                <w:tab w:val="left" w:pos="1778"/>
              </w:tabs>
              <w:jc w:val="left"/>
              <w:rPr>
                <w:rFonts w:ascii="仿宋" w:hAnsi="仿宋" w:eastAsia="仿宋" w:cs="仿宋"/>
                <w:bCs/>
                <w:szCs w:val="21"/>
              </w:rPr>
            </w:pPr>
            <w:r>
              <w:rPr>
                <w:rFonts w:hint="eastAsia" w:ascii="仿宋" w:hAnsi="仿宋" w:eastAsia="仿宋" w:cs="仿宋"/>
                <w:bCs/>
                <w:szCs w:val="21"/>
              </w:rPr>
              <w:t>投标人的商务和技术得分为上述七项得分之和</w:t>
            </w:r>
          </w:p>
          <w:p>
            <w:pPr>
              <w:tabs>
                <w:tab w:val="left" w:pos="1778"/>
              </w:tabs>
              <w:jc w:val="left"/>
              <w:rPr>
                <w:rFonts w:ascii="仿宋" w:hAnsi="仿宋" w:eastAsia="仿宋" w:cs="仿宋"/>
                <w:bCs/>
                <w:szCs w:val="21"/>
              </w:rPr>
            </w:pPr>
            <w:r>
              <w:rPr>
                <w:rFonts w:hint="eastAsia" w:ascii="仿宋" w:hAnsi="仿宋" w:eastAsia="仿宋" w:cs="仿宋"/>
                <w:bCs/>
                <w:szCs w:val="21"/>
              </w:rPr>
              <w:t>8、投标报价：50分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2.2.2</w:t>
            </w:r>
          </w:p>
        </w:tc>
        <w:tc>
          <w:tcPr>
            <w:tcW w:w="1788"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评标基准价</w:t>
            </w:r>
          </w:p>
          <w:p>
            <w:pPr>
              <w:tabs>
                <w:tab w:val="left" w:pos="1778"/>
              </w:tabs>
              <w:jc w:val="left"/>
              <w:rPr>
                <w:rFonts w:ascii="仿宋" w:hAnsi="仿宋" w:eastAsia="仿宋" w:cs="仿宋"/>
                <w:bCs/>
                <w:szCs w:val="21"/>
              </w:rPr>
            </w:pPr>
            <w:r>
              <w:rPr>
                <w:rFonts w:hint="eastAsia" w:ascii="仿宋" w:hAnsi="仿宋" w:eastAsia="仿宋" w:cs="仿宋"/>
                <w:bCs/>
                <w:szCs w:val="21"/>
              </w:rPr>
              <w:t>计算方法</w:t>
            </w:r>
          </w:p>
        </w:tc>
        <w:tc>
          <w:tcPr>
            <w:tcW w:w="5624"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①评标价的确定：</w:t>
            </w:r>
          </w:p>
          <w:p>
            <w:pPr>
              <w:tabs>
                <w:tab w:val="left" w:pos="1778"/>
              </w:tabs>
              <w:jc w:val="left"/>
              <w:rPr>
                <w:rFonts w:ascii="仿宋" w:hAnsi="仿宋" w:eastAsia="仿宋" w:cs="仿宋"/>
                <w:bCs/>
                <w:szCs w:val="21"/>
              </w:rPr>
            </w:pPr>
            <w:r>
              <w:rPr>
                <w:rFonts w:hint="eastAsia" w:ascii="仿宋" w:hAnsi="仿宋" w:eastAsia="仿宋" w:cs="仿宋"/>
                <w:bCs/>
                <w:szCs w:val="21"/>
              </w:rPr>
              <w:t>评标价Di=投标函投标总报价文字报价-暂估价-暂列金额</w:t>
            </w:r>
          </w:p>
          <w:p>
            <w:pPr>
              <w:tabs>
                <w:tab w:val="left" w:pos="1778"/>
              </w:tabs>
              <w:jc w:val="left"/>
              <w:rPr>
                <w:rFonts w:ascii="仿宋" w:hAnsi="仿宋" w:eastAsia="仿宋" w:cs="仿宋"/>
                <w:bCs/>
                <w:szCs w:val="21"/>
              </w:rPr>
            </w:pPr>
            <w:r>
              <w:rPr>
                <w:rFonts w:hint="eastAsia" w:ascii="仿宋" w:hAnsi="仿宋" w:eastAsia="仿宋" w:cs="仿宋"/>
                <w:bCs/>
                <w:szCs w:val="21"/>
              </w:rPr>
              <w:t>②有效评标价：</w:t>
            </w:r>
          </w:p>
          <w:p>
            <w:pPr>
              <w:tabs>
                <w:tab w:val="left" w:pos="1778"/>
              </w:tabs>
              <w:jc w:val="left"/>
              <w:rPr>
                <w:rFonts w:ascii="仿宋" w:hAnsi="仿宋" w:eastAsia="仿宋" w:cs="仿宋"/>
                <w:bCs/>
                <w:szCs w:val="21"/>
              </w:rPr>
            </w:pPr>
            <w:r>
              <w:rPr>
                <w:rFonts w:hint="eastAsia" w:ascii="仿宋" w:hAnsi="仿宋" w:eastAsia="仿宋" w:cs="仿宋"/>
                <w:bCs/>
                <w:szCs w:val="21"/>
              </w:rPr>
              <w:t>除按投标人须知前附表第5.2.4条规定投标报价不参与评标基准价计算的情形之外，剩余所有投标人的评标价均为有效评标价。</w:t>
            </w:r>
          </w:p>
          <w:p>
            <w:pPr>
              <w:tabs>
                <w:tab w:val="left" w:pos="1778"/>
              </w:tabs>
              <w:jc w:val="left"/>
              <w:rPr>
                <w:rFonts w:ascii="仿宋" w:hAnsi="仿宋" w:eastAsia="仿宋" w:cs="仿宋"/>
                <w:bCs/>
                <w:szCs w:val="21"/>
              </w:rPr>
            </w:pPr>
            <w:r>
              <w:rPr>
                <w:rFonts w:hint="eastAsia" w:ascii="仿宋" w:hAnsi="仿宋" w:eastAsia="仿宋" w:cs="仿宋"/>
                <w:bCs/>
                <w:szCs w:val="21"/>
              </w:rPr>
              <w:t>③评标基准价的确定：</w:t>
            </w:r>
          </w:p>
          <w:p>
            <w:pPr>
              <w:tabs>
                <w:tab w:val="left" w:pos="1778"/>
              </w:tabs>
              <w:jc w:val="left"/>
              <w:rPr>
                <w:rFonts w:ascii="仿宋" w:hAnsi="仿宋" w:eastAsia="仿宋" w:cs="仿宋"/>
                <w:bCs/>
                <w:szCs w:val="21"/>
              </w:rPr>
            </w:pPr>
            <w:r>
              <w:rPr>
                <w:rFonts w:hint="eastAsia" w:ascii="仿宋" w:hAnsi="仿宋" w:eastAsia="仿宋" w:cs="仿宋"/>
                <w:bCs/>
                <w:szCs w:val="21"/>
              </w:rPr>
              <w:t>有效评标价去掉n1个最高评标价和n2个最低评标价后平均值直接作为评标基准价P。</w:t>
            </w:r>
          </w:p>
          <w:p>
            <w:pPr>
              <w:tabs>
                <w:tab w:val="left" w:pos="1778"/>
              </w:tabs>
              <w:jc w:val="left"/>
              <w:rPr>
                <w:rFonts w:ascii="仿宋" w:hAnsi="仿宋" w:eastAsia="仿宋" w:cs="仿宋"/>
                <w:bCs/>
                <w:szCs w:val="21"/>
              </w:rPr>
            </w:pPr>
            <w:r>
              <w:rPr>
                <w:rFonts w:hint="eastAsia" w:ascii="仿宋" w:hAnsi="仿宋" w:eastAsia="仿宋" w:cs="仿宋"/>
                <w:bCs/>
                <w:szCs w:val="21"/>
              </w:rPr>
              <w:object>
                <v:shape id="_x0000_i1025" o:spt="75" type="#_x0000_t75" style="height:39pt;width:189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p>
          <w:p>
            <w:pPr>
              <w:tabs>
                <w:tab w:val="left" w:pos="1778"/>
              </w:tabs>
              <w:jc w:val="left"/>
              <w:rPr>
                <w:rFonts w:ascii="仿宋" w:hAnsi="仿宋" w:eastAsia="仿宋" w:cs="仿宋"/>
                <w:bCs/>
                <w:szCs w:val="21"/>
              </w:rPr>
            </w:pPr>
            <w:r>
              <w:rPr>
                <w:rFonts w:hint="eastAsia" w:ascii="仿宋" w:hAnsi="仿宋" w:eastAsia="仿宋" w:cs="仿宋"/>
                <w:bCs/>
                <w:szCs w:val="21"/>
              </w:rPr>
              <w:t>式中：N为有效评标价的个数；</w:t>
            </w:r>
          </w:p>
          <w:p>
            <w:pPr>
              <w:tabs>
                <w:tab w:val="left" w:pos="1778"/>
              </w:tabs>
              <w:jc w:val="left"/>
              <w:rPr>
                <w:rFonts w:ascii="仿宋" w:hAnsi="仿宋" w:eastAsia="仿宋" w:cs="仿宋"/>
                <w:bCs/>
                <w:szCs w:val="21"/>
              </w:rPr>
            </w:pPr>
            <w:r>
              <w:rPr>
                <w:rFonts w:hint="eastAsia" w:ascii="仿宋" w:hAnsi="仿宋" w:eastAsia="仿宋" w:cs="仿宋"/>
                <w:bCs/>
                <w:szCs w:val="21"/>
              </w:rPr>
              <w:t>n1、n2的取值：</w:t>
            </w:r>
          </w:p>
          <w:p>
            <w:pPr>
              <w:tabs>
                <w:tab w:val="left" w:pos="1778"/>
              </w:tabs>
              <w:jc w:val="left"/>
              <w:rPr>
                <w:rFonts w:ascii="仿宋" w:hAnsi="仿宋" w:eastAsia="仿宋" w:cs="仿宋"/>
                <w:bCs/>
                <w:szCs w:val="21"/>
              </w:rPr>
            </w:pPr>
            <w:r>
              <w:rPr>
                <w:rFonts w:hint="eastAsia" w:ascii="仿宋" w:hAnsi="仿宋" w:eastAsia="仿宋" w:cs="仿宋"/>
                <w:bCs/>
                <w:szCs w:val="21"/>
              </w:rPr>
              <w:t>当N＜6时，n1、n2均取0；</w:t>
            </w:r>
          </w:p>
          <w:p>
            <w:pPr>
              <w:tabs>
                <w:tab w:val="left" w:pos="1778"/>
              </w:tabs>
              <w:jc w:val="left"/>
              <w:rPr>
                <w:rFonts w:ascii="仿宋" w:hAnsi="仿宋" w:eastAsia="仿宋" w:cs="仿宋"/>
                <w:bCs/>
                <w:szCs w:val="21"/>
              </w:rPr>
            </w:pPr>
            <w:r>
              <w:rPr>
                <w:rFonts w:hint="eastAsia" w:ascii="仿宋" w:hAnsi="仿宋" w:eastAsia="仿宋" w:cs="仿宋"/>
                <w:bCs/>
                <w:szCs w:val="21"/>
              </w:rPr>
              <w:t>当N≥6时，n1在取值区间1～M-1中随机抽取（最小为1），n2在取值区间1～M+1中随机抽取，M=N/4，M去尾取整。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798"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2.2.3</w:t>
            </w:r>
          </w:p>
        </w:tc>
        <w:tc>
          <w:tcPr>
            <w:tcW w:w="1788"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评标价的偏差率</w:t>
            </w:r>
          </w:p>
          <w:p>
            <w:pPr>
              <w:tabs>
                <w:tab w:val="left" w:pos="1778"/>
              </w:tabs>
              <w:jc w:val="left"/>
              <w:rPr>
                <w:rFonts w:ascii="仿宋" w:hAnsi="仿宋" w:eastAsia="仿宋" w:cs="仿宋"/>
                <w:bCs/>
                <w:szCs w:val="21"/>
              </w:rPr>
            </w:pPr>
            <w:r>
              <w:rPr>
                <w:rFonts w:hint="eastAsia" w:ascii="仿宋" w:hAnsi="仿宋" w:eastAsia="仿宋" w:cs="仿宋"/>
                <w:bCs/>
                <w:szCs w:val="21"/>
              </w:rPr>
              <w:t>计算公式</w:t>
            </w:r>
          </w:p>
        </w:tc>
        <w:tc>
          <w:tcPr>
            <w:tcW w:w="5624"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偏差率=100%×（投标人评标价Di－评标基准价P）/评标基准价P,偏差率保留两位小数。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条款号</w:t>
            </w:r>
          </w:p>
        </w:tc>
        <w:tc>
          <w:tcPr>
            <w:tcW w:w="1788"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评分因素</w:t>
            </w:r>
          </w:p>
        </w:tc>
        <w:tc>
          <w:tcPr>
            <w:tcW w:w="5624"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798"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2.2.4(1)</w:t>
            </w:r>
          </w:p>
        </w:tc>
        <w:tc>
          <w:tcPr>
            <w:tcW w:w="1788"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商务及技术评分</w:t>
            </w:r>
          </w:p>
        </w:tc>
        <w:tc>
          <w:tcPr>
            <w:tcW w:w="1009"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50分</w:t>
            </w:r>
          </w:p>
        </w:tc>
        <w:tc>
          <w:tcPr>
            <w:tcW w:w="4615"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详见详细评分标准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2.2.4(2)</w:t>
            </w:r>
          </w:p>
        </w:tc>
        <w:tc>
          <w:tcPr>
            <w:tcW w:w="1788"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评标价评分</w:t>
            </w:r>
          </w:p>
        </w:tc>
        <w:tc>
          <w:tcPr>
            <w:tcW w:w="5624"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评标价得分：</w:t>
            </w:r>
          </w:p>
          <w:p>
            <w:pPr>
              <w:tabs>
                <w:tab w:val="left" w:pos="1778"/>
              </w:tabs>
              <w:jc w:val="left"/>
              <w:rPr>
                <w:rFonts w:ascii="仿宋" w:hAnsi="仿宋" w:eastAsia="仿宋" w:cs="仿宋"/>
                <w:bCs/>
                <w:szCs w:val="21"/>
              </w:rPr>
            </w:pPr>
            <w:r>
              <w:rPr>
                <w:rFonts w:hint="eastAsia" w:ascii="仿宋" w:hAnsi="仿宋" w:eastAsia="仿宋" w:cs="仿宋"/>
                <w:bCs/>
                <w:szCs w:val="21"/>
              </w:rPr>
              <w:t>A.如果投标人的评标价&gt;评标基准价，则评标价得分=50-偏差率×100×E1；</w:t>
            </w:r>
          </w:p>
          <w:p>
            <w:pPr>
              <w:tabs>
                <w:tab w:val="left" w:pos="1778"/>
              </w:tabs>
              <w:jc w:val="left"/>
              <w:rPr>
                <w:rFonts w:ascii="仿宋" w:hAnsi="仿宋" w:eastAsia="仿宋" w:cs="仿宋"/>
                <w:bCs/>
                <w:szCs w:val="21"/>
              </w:rPr>
            </w:pPr>
            <w:r>
              <w:rPr>
                <w:rFonts w:hint="eastAsia" w:ascii="仿宋" w:hAnsi="仿宋" w:eastAsia="仿宋" w:cs="仿宋"/>
                <w:bCs/>
                <w:szCs w:val="21"/>
              </w:rPr>
              <w:t>B.如果投标人的评标价≤评标基准价，则评标价得分=50+偏差率×100×E2；</w:t>
            </w:r>
          </w:p>
          <w:p>
            <w:pPr>
              <w:tabs>
                <w:tab w:val="left" w:pos="1778"/>
              </w:tabs>
              <w:jc w:val="left"/>
              <w:rPr>
                <w:rFonts w:ascii="仿宋" w:hAnsi="仿宋" w:eastAsia="仿宋" w:cs="仿宋"/>
                <w:bCs/>
                <w:szCs w:val="21"/>
              </w:rPr>
            </w:pPr>
            <w:r>
              <w:rPr>
                <w:rFonts w:hint="eastAsia" w:ascii="仿宋" w:hAnsi="仿宋" w:eastAsia="仿宋" w:cs="仿宋"/>
                <w:bCs/>
                <w:szCs w:val="21"/>
              </w:rPr>
              <w:t>C.E1=0.5，是评标价每高于评标基准价一个百分点的扣分值；E2=0.25，是评标价每低于评标基准价一个百分点的扣分值。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7" w:hRule="atLeast"/>
          <w:jc w:val="center"/>
        </w:trPr>
        <w:tc>
          <w:tcPr>
            <w:tcW w:w="1798"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3.1.3</w:t>
            </w:r>
          </w:p>
        </w:tc>
        <w:tc>
          <w:tcPr>
            <w:tcW w:w="1788"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报价修正</w:t>
            </w:r>
          </w:p>
        </w:tc>
        <w:tc>
          <w:tcPr>
            <w:tcW w:w="5624"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投标报价有算术错误的，评标委员会按以下原则对投标报价进行修正，修正的价格经投标人书面确认后具有约束力。投标人不接受修正价格的，评标委员会应当否决其投标。</w:t>
            </w:r>
          </w:p>
          <w:p>
            <w:pPr>
              <w:tabs>
                <w:tab w:val="left" w:pos="1778"/>
              </w:tabs>
              <w:jc w:val="left"/>
              <w:rPr>
                <w:rFonts w:ascii="仿宋" w:hAnsi="仿宋" w:eastAsia="仿宋" w:cs="仿宋"/>
                <w:bCs/>
                <w:szCs w:val="21"/>
              </w:rPr>
            </w:pPr>
            <w:r>
              <w:rPr>
                <w:rFonts w:hint="eastAsia" w:ascii="仿宋" w:hAnsi="仿宋" w:eastAsia="仿宋" w:cs="仿宋"/>
                <w:bCs/>
                <w:szCs w:val="21"/>
              </w:rPr>
              <w:t>（1）投标文件中的大写金额与小写金额不一致的，以大写金额为准；</w:t>
            </w:r>
          </w:p>
          <w:p>
            <w:pPr>
              <w:tabs>
                <w:tab w:val="left" w:pos="1778"/>
              </w:tabs>
              <w:jc w:val="left"/>
              <w:rPr>
                <w:rFonts w:ascii="仿宋" w:hAnsi="仿宋" w:eastAsia="仿宋" w:cs="仿宋"/>
                <w:bCs/>
                <w:szCs w:val="21"/>
              </w:rPr>
            </w:pPr>
            <w:r>
              <w:rPr>
                <w:rFonts w:hint="eastAsia" w:ascii="仿宋" w:hAnsi="仿宋" w:eastAsia="仿宋" w:cs="仿宋"/>
                <w:bCs/>
                <w:szCs w:val="21"/>
              </w:rPr>
              <w:t>（2）总价金额与单项报价累加的结果不一致的，以总价数为准，修正单项价。</w:t>
            </w:r>
          </w:p>
          <w:p>
            <w:pPr>
              <w:tabs>
                <w:tab w:val="left" w:pos="1778"/>
              </w:tabs>
              <w:jc w:val="left"/>
              <w:rPr>
                <w:rFonts w:ascii="仿宋" w:hAnsi="仿宋" w:eastAsia="仿宋" w:cs="仿宋"/>
                <w:bCs/>
                <w:szCs w:val="21"/>
              </w:rPr>
            </w:pPr>
            <w:r>
              <w:rPr>
                <w:rFonts w:hint="eastAsia" w:ascii="仿宋" w:hAnsi="仿宋" w:eastAsia="仿宋" w:cs="仿宋"/>
                <w:bCs/>
                <w:szCs w:val="21"/>
              </w:rPr>
              <w:t>在保持投标总价不变的情况下，评标委员会有权要求投标人对不合理报价予以澄清并修正。对不合理报价的修正，招标人可根据评标委员会的要求延续至合同谈判阶段，投标人必须响应并予以确认。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798"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3.2.3</w:t>
            </w:r>
          </w:p>
        </w:tc>
        <w:tc>
          <w:tcPr>
            <w:tcW w:w="1788"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综合评分</w:t>
            </w:r>
          </w:p>
        </w:tc>
        <w:tc>
          <w:tcPr>
            <w:tcW w:w="5624"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综合得分=投标人的商务和技术得分+评标价得分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798"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3.4.1</w:t>
            </w:r>
          </w:p>
        </w:tc>
        <w:tc>
          <w:tcPr>
            <w:tcW w:w="1788"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评标结果</w:t>
            </w:r>
          </w:p>
        </w:tc>
        <w:tc>
          <w:tcPr>
            <w:tcW w:w="5624" w:type="dxa"/>
            <w:gridSpan w:val="2"/>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评标委员会对各投标人按综合得分由高到低排序，依序推荐中标候选人，并标明排序，推荐的中标候选人数量为3名。综合评分相等时，评标委员会依次按以下优先顺序推荐中标候选人：</w:t>
            </w:r>
          </w:p>
          <w:p>
            <w:pPr>
              <w:tabs>
                <w:tab w:val="left" w:pos="1778"/>
              </w:tabs>
              <w:jc w:val="left"/>
              <w:rPr>
                <w:rFonts w:ascii="仿宋" w:hAnsi="仿宋" w:eastAsia="仿宋" w:cs="仿宋"/>
                <w:bCs/>
                <w:szCs w:val="21"/>
              </w:rPr>
            </w:pPr>
            <w:r>
              <w:rPr>
                <w:rFonts w:hint="eastAsia" w:ascii="仿宋" w:hAnsi="仿宋" w:eastAsia="仿宋" w:cs="仿宋"/>
                <w:bCs/>
                <w:szCs w:val="21"/>
              </w:rPr>
              <w:t>（1）评标价低的投标人优先；</w:t>
            </w:r>
          </w:p>
          <w:p>
            <w:pPr>
              <w:tabs>
                <w:tab w:val="left" w:pos="1778"/>
              </w:tabs>
              <w:jc w:val="left"/>
              <w:rPr>
                <w:rFonts w:ascii="仿宋" w:hAnsi="仿宋" w:eastAsia="仿宋" w:cs="仿宋"/>
                <w:bCs/>
                <w:szCs w:val="21"/>
              </w:rPr>
            </w:pPr>
            <w:r>
              <w:rPr>
                <w:rFonts w:hint="eastAsia" w:ascii="仿宋" w:hAnsi="仿宋" w:eastAsia="仿宋" w:cs="仿宋"/>
                <w:bCs/>
                <w:szCs w:val="21"/>
              </w:rPr>
              <w:t>（2）履约信誉得分较高的投标人优先；</w:t>
            </w:r>
          </w:p>
          <w:p>
            <w:pPr>
              <w:tabs>
                <w:tab w:val="left" w:pos="1778"/>
              </w:tabs>
              <w:jc w:val="left"/>
              <w:rPr>
                <w:rFonts w:ascii="仿宋" w:hAnsi="仿宋" w:eastAsia="仿宋" w:cs="仿宋"/>
                <w:bCs/>
                <w:szCs w:val="21"/>
              </w:rPr>
            </w:pPr>
            <w:r>
              <w:rPr>
                <w:rFonts w:hint="eastAsia" w:ascii="仿宋" w:hAnsi="仿宋" w:eastAsia="仿宋" w:cs="仿宋"/>
                <w:bCs/>
                <w:szCs w:val="21"/>
              </w:rPr>
              <w:t>（3）</w:t>
            </w:r>
            <w:bookmarkStart w:id="0" w:name="_Hlk518562565"/>
            <w:r>
              <w:rPr>
                <w:rFonts w:hint="eastAsia" w:ascii="仿宋" w:hAnsi="仿宋" w:eastAsia="仿宋" w:cs="仿宋"/>
                <w:bCs/>
                <w:szCs w:val="21"/>
              </w:rPr>
              <w:t>初步设计文件的优化建议和施工图设计技术方案得分较高的投标人优先</w:t>
            </w:r>
            <w:bookmarkEnd w:id="0"/>
            <w:r>
              <w:rPr>
                <w:rFonts w:hint="eastAsia" w:ascii="仿宋" w:hAnsi="仿宋" w:eastAsia="仿宋" w:cs="仿宋"/>
                <w:bCs/>
                <w:szCs w:val="21"/>
              </w:rPr>
              <w:t>；</w:t>
            </w:r>
          </w:p>
          <w:p>
            <w:pPr>
              <w:tabs>
                <w:tab w:val="left" w:pos="1778"/>
              </w:tabs>
              <w:jc w:val="left"/>
              <w:rPr>
                <w:rFonts w:ascii="仿宋" w:hAnsi="仿宋" w:eastAsia="仿宋" w:cs="仿宋"/>
                <w:bCs/>
                <w:szCs w:val="21"/>
              </w:rPr>
            </w:pPr>
            <w:r>
              <w:rPr>
                <w:rFonts w:hint="eastAsia" w:ascii="仿宋" w:hAnsi="仿宋" w:eastAsia="仿宋" w:cs="仿宋"/>
                <w:bCs/>
                <w:szCs w:val="21"/>
              </w:rPr>
              <w:t>（4）设计施工总承包管理方案得分较高的投标人优先；</w:t>
            </w:r>
          </w:p>
          <w:p>
            <w:pPr>
              <w:tabs>
                <w:tab w:val="left" w:pos="1778"/>
              </w:tabs>
              <w:jc w:val="left"/>
              <w:rPr>
                <w:rFonts w:ascii="仿宋" w:hAnsi="仿宋" w:eastAsia="仿宋" w:cs="仿宋"/>
                <w:bCs/>
                <w:szCs w:val="21"/>
              </w:rPr>
            </w:pPr>
            <w:r>
              <w:rPr>
                <w:rFonts w:hint="eastAsia" w:ascii="仿宋" w:hAnsi="仿宋" w:eastAsia="仿宋" w:cs="仿宋"/>
                <w:bCs/>
                <w:szCs w:val="21"/>
              </w:rPr>
              <w:t>（5）施工组织设计得分较高的投标人优先。</w:t>
            </w:r>
          </w:p>
        </w:tc>
      </w:tr>
    </w:tbl>
    <w:p>
      <w:pPr>
        <w:spacing w:line="360" w:lineRule="auto"/>
        <w:rPr>
          <w:rFonts w:ascii="仿宋_GB2312" w:hAnsi="仿宋_GB2312" w:eastAsia="仿宋_GB2312" w:cs="仿宋_GB2312"/>
          <w:b/>
          <w:sz w:val="28"/>
          <w:szCs w:val="28"/>
        </w:rPr>
      </w:pPr>
    </w:p>
    <w:p>
      <w:pPr>
        <w:spacing w:line="360" w:lineRule="auto"/>
        <w:rPr>
          <w:rFonts w:ascii="仿宋_GB2312" w:hAnsi="仿宋_GB2312" w:eastAsia="仿宋_GB2312" w:cs="仿宋_GB2312"/>
          <w:b/>
          <w:sz w:val="28"/>
          <w:szCs w:val="28"/>
        </w:rPr>
      </w:pPr>
    </w:p>
    <w:p>
      <w:pPr>
        <w:spacing w:line="360" w:lineRule="auto"/>
        <w:rPr>
          <w:rFonts w:ascii="仿宋_GB2312" w:hAnsi="仿宋_GB2312" w:eastAsia="仿宋_GB2312" w:cs="仿宋_GB2312"/>
          <w:b/>
          <w:sz w:val="28"/>
          <w:szCs w:val="28"/>
        </w:rPr>
      </w:pPr>
    </w:p>
    <w:p>
      <w:pPr>
        <w:spacing w:line="360" w:lineRule="auto"/>
        <w:rPr>
          <w:rFonts w:ascii="仿宋_GB2312" w:hAnsi="仿宋_GB2312" w:eastAsia="仿宋_GB2312" w:cs="仿宋_GB2312"/>
          <w:b/>
          <w:sz w:val="28"/>
          <w:szCs w:val="28"/>
        </w:rPr>
      </w:pPr>
    </w:p>
    <w:p>
      <w:pPr>
        <w:pStyle w:val="39"/>
      </w:pPr>
    </w:p>
    <w:p>
      <w:pPr>
        <w:spacing w:line="360" w:lineRule="auto"/>
        <w:rPr>
          <w:rFonts w:ascii="仿宋_GB2312" w:hAnsi="仿宋_GB2312" w:eastAsia="仿宋_GB2312" w:cs="仿宋_GB2312"/>
          <w:szCs w:val="21"/>
        </w:rPr>
      </w:pPr>
      <w:r>
        <w:rPr>
          <w:rFonts w:hint="eastAsia" w:ascii="仿宋_GB2312" w:hAnsi="仿宋_GB2312" w:eastAsia="仿宋_GB2312" w:cs="仿宋_GB2312"/>
          <w:b/>
          <w:sz w:val="28"/>
          <w:szCs w:val="28"/>
        </w:rPr>
        <w:t>商务及技术文件详细评分标准：</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A项目管理机构：5分</w:t>
      </w:r>
    </w:p>
    <w:p>
      <w:pPr>
        <w:pStyle w:val="2"/>
        <w:rPr>
          <w:rFonts w:ascii="仿宋_GB2312" w:hAnsi="仿宋_GB2312" w:eastAsia="仿宋_GB2312" w:cs="仿宋_GB2312"/>
        </w:rPr>
      </w:pPr>
      <w:r>
        <w:rPr>
          <w:rFonts w:hint="eastAsia" w:ascii="仿宋_GB2312" w:hAnsi="仿宋_GB2312" w:eastAsia="仿宋_GB2312" w:cs="仿宋_GB2312"/>
          <w:b/>
          <w:bCs/>
          <w:sz w:val="28"/>
          <w:szCs w:val="28"/>
        </w:rPr>
        <w:t>A-1</w:t>
      </w:r>
    </w:p>
    <w:tbl>
      <w:tblPr>
        <w:tblStyle w:val="40"/>
        <w:tblW w:w="90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25"/>
        <w:gridCol w:w="733"/>
        <w:gridCol w:w="4981"/>
        <w:gridCol w:w="16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25"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评分因素</w:t>
            </w:r>
          </w:p>
        </w:tc>
        <w:tc>
          <w:tcPr>
            <w:tcW w:w="733"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分值</w:t>
            </w:r>
          </w:p>
        </w:tc>
        <w:tc>
          <w:tcPr>
            <w:tcW w:w="4981"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评  分  标  准</w:t>
            </w:r>
          </w:p>
        </w:tc>
        <w:tc>
          <w:tcPr>
            <w:tcW w:w="1623"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25"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项目管理机构</w:t>
            </w:r>
          </w:p>
          <w:p>
            <w:pPr>
              <w:tabs>
                <w:tab w:val="left" w:pos="1778"/>
              </w:tabs>
              <w:jc w:val="left"/>
              <w:rPr>
                <w:rFonts w:ascii="仿宋" w:hAnsi="仿宋" w:eastAsia="仿宋" w:cs="仿宋"/>
                <w:bCs/>
                <w:szCs w:val="21"/>
              </w:rPr>
            </w:pPr>
            <w:r>
              <w:rPr>
                <w:rFonts w:hint="eastAsia" w:ascii="仿宋" w:hAnsi="仿宋" w:eastAsia="仿宋" w:cs="仿宋"/>
                <w:bCs/>
                <w:szCs w:val="21"/>
              </w:rPr>
              <w:t>设置</w:t>
            </w:r>
          </w:p>
        </w:tc>
        <w:tc>
          <w:tcPr>
            <w:tcW w:w="733"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w:t>
            </w:r>
          </w:p>
        </w:tc>
        <w:tc>
          <w:tcPr>
            <w:tcW w:w="498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设置合理，符合本工程实际，计0.9～1分；设置较为合理，较为符合本工程实际，计0.7～0.9分；有机构设置，基本符合本工程实际，计0.6～0.7分。</w:t>
            </w:r>
          </w:p>
        </w:tc>
        <w:tc>
          <w:tcPr>
            <w:tcW w:w="1623" w:type="dxa"/>
            <w:vAlign w:val="center"/>
          </w:tcPr>
          <w:p>
            <w:pPr>
              <w:tabs>
                <w:tab w:val="left" w:pos="1778"/>
              </w:tabs>
              <w:jc w:val="left"/>
              <w:rPr>
                <w:rFonts w:ascii="仿宋" w:hAnsi="仿宋" w:eastAsia="仿宋" w:cs="仿宋"/>
                <w:bCs/>
                <w:szCs w:val="21"/>
              </w:rPr>
            </w:pPr>
          </w:p>
        </w:tc>
      </w:tr>
    </w:tbl>
    <w:p>
      <w:pPr>
        <w:pStyle w:val="2"/>
        <w:rPr>
          <w:rFonts w:ascii="仿宋_GB2312" w:hAnsi="仿宋_GB2312" w:eastAsia="仿宋_GB2312" w:cs="仿宋_GB2312"/>
        </w:rPr>
      </w:pPr>
      <w:r>
        <w:rPr>
          <w:rFonts w:hint="eastAsia" w:ascii="仿宋_GB2312" w:hAnsi="仿宋_GB2312" w:eastAsia="仿宋_GB2312" w:cs="仿宋_GB2312"/>
          <w:b/>
          <w:bCs/>
          <w:sz w:val="28"/>
          <w:szCs w:val="28"/>
        </w:rPr>
        <w:t>A-2</w:t>
      </w:r>
    </w:p>
    <w:tbl>
      <w:tblPr>
        <w:tblStyle w:val="40"/>
        <w:tblW w:w="90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37"/>
        <w:gridCol w:w="1188"/>
        <w:gridCol w:w="733"/>
        <w:gridCol w:w="4981"/>
        <w:gridCol w:w="16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25" w:type="dxa"/>
            <w:gridSpan w:val="2"/>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评分因素</w:t>
            </w:r>
          </w:p>
        </w:tc>
        <w:tc>
          <w:tcPr>
            <w:tcW w:w="733"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分值</w:t>
            </w:r>
          </w:p>
        </w:tc>
        <w:tc>
          <w:tcPr>
            <w:tcW w:w="4981"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评  分  标  准</w:t>
            </w:r>
          </w:p>
        </w:tc>
        <w:tc>
          <w:tcPr>
            <w:tcW w:w="1623"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37" w:type="dxa"/>
            <w:vMerge w:val="restart"/>
            <w:tcBorders>
              <w:right w:val="single" w:color="auto" w:sz="4" w:space="0"/>
            </w:tcBorders>
            <w:vAlign w:val="center"/>
          </w:tcPr>
          <w:p>
            <w:pPr>
              <w:tabs>
                <w:tab w:val="left" w:pos="1778"/>
              </w:tabs>
              <w:jc w:val="left"/>
              <w:rPr>
                <w:rFonts w:ascii="仿宋" w:hAnsi="仿宋" w:eastAsia="仿宋" w:cs="仿宋"/>
                <w:bCs/>
                <w:szCs w:val="21"/>
              </w:rPr>
            </w:pPr>
          </w:p>
          <w:p>
            <w:pPr>
              <w:tabs>
                <w:tab w:val="left" w:pos="1778"/>
              </w:tabs>
              <w:jc w:val="left"/>
              <w:rPr>
                <w:rFonts w:ascii="仿宋" w:hAnsi="仿宋" w:eastAsia="仿宋" w:cs="仿宋"/>
                <w:bCs/>
                <w:szCs w:val="21"/>
              </w:rPr>
            </w:pPr>
          </w:p>
          <w:p>
            <w:pPr>
              <w:tabs>
                <w:tab w:val="left" w:pos="1778"/>
              </w:tabs>
              <w:jc w:val="left"/>
              <w:rPr>
                <w:rFonts w:ascii="仿宋" w:hAnsi="仿宋" w:eastAsia="仿宋" w:cs="仿宋"/>
                <w:bCs/>
                <w:szCs w:val="21"/>
              </w:rPr>
            </w:pPr>
          </w:p>
          <w:p>
            <w:pPr>
              <w:tabs>
                <w:tab w:val="left" w:pos="1778"/>
              </w:tabs>
              <w:jc w:val="left"/>
              <w:rPr>
                <w:rFonts w:ascii="仿宋" w:hAnsi="仿宋" w:eastAsia="仿宋" w:cs="仿宋"/>
                <w:bCs/>
                <w:szCs w:val="21"/>
              </w:rPr>
            </w:pPr>
          </w:p>
          <w:p>
            <w:pPr>
              <w:tabs>
                <w:tab w:val="left" w:pos="1778"/>
              </w:tabs>
              <w:jc w:val="left"/>
              <w:rPr>
                <w:rFonts w:ascii="仿宋" w:hAnsi="仿宋" w:eastAsia="仿宋" w:cs="仿宋"/>
                <w:bCs/>
                <w:szCs w:val="21"/>
              </w:rPr>
            </w:pPr>
          </w:p>
          <w:p>
            <w:pPr>
              <w:tabs>
                <w:tab w:val="left" w:pos="1778"/>
              </w:tabs>
              <w:jc w:val="left"/>
              <w:rPr>
                <w:rFonts w:ascii="仿宋" w:hAnsi="仿宋" w:eastAsia="仿宋" w:cs="仿宋"/>
                <w:bCs/>
                <w:szCs w:val="21"/>
              </w:rPr>
            </w:pPr>
            <w:r>
              <w:rPr>
                <w:rFonts w:hint="eastAsia" w:ascii="仿宋" w:hAnsi="仿宋" w:eastAsia="仿宋" w:cs="仿宋"/>
                <w:bCs/>
                <w:szCs w:val="21"/>
              </w:rPr>
              <w:t>主要</w:t>
            </w:r>
          </w:p>
          <w:p>
            <w:pPr>
              <w:tabs>
                <w:tab w:val="left" w:pos="1778"/>
              </w:tabs>
              <w:jc w:val="left"/>
              <w:rPr>
                <w:rFonts w:ascii="仿宋" w:hAnsi="仿宋" w:eastAsia="仿宋" w:cs="仿宋"/>
                <w:bCs/>
                <w:szCs w:val="21"/>
              </w:rPr>
            </w:pPr>
            <w:r>
              <w:rPr>
                <w:rFonts w:hint="eastAsia" w:ascii="仿宋" w:hAnsi="仿宋" w:eastAsia="仿宋" w:cs="仿宋"/>
                <w:bCs/>
                <w:szCs w:val="21"/>
              </w:rPr>
              <w:t>管理</w:t>
            </w:r>
          </w:p>
          <w:p>
            <w:pPr>
              <w:tabs>
                <w:tab w:val="left" w:pos="1778"/>
              </w:tabs>
              <w:jc w:val="left"/>
              <w:rPr>
                <w:rFonts w:ascii="仿宋" w:hAnsi="仿宋" w:eastAsia="仿宋" w:cs="仿宋"/>
                <w:bCs/>
                <w:szCs w:val="21"/>
              </w:rPr>
            </w:pPr>
            <w:r>
              <w:rPr>
                <w:rFonts w:hint="eastAsia" w:ascii="仿宋" w:hAnsi="仿宋" w:eastAsia="仿宋" w:cs="仿宋"/>
                <w:bCs/>
                <w:szCs w:val="21"/>
              </w:rPr>
              <w:t>人员</w:t>
            </w:r>
          </w:p>
          <w:p>
            <w:pPr>
              <w:tabs>
                <w:tab w:val="left" w:pos="1778"/>
              </w:tabs>
              <w:jc w:val="left"/>
              <w:rPr>
                <w:rFonts w:ascii="仿宋" w:hAnsi="仿宋" w:eastAsia="仿宋" w:cs="仿宋"/>
                <w:bCs/>
                <w:szCs w:val="21"/>
              </w:rPr>
            </w:pPr>
            <w:r>
              <w:rPr>
                <w:rFonts w:hint="eastAsia" w:ascii="仿宋" w:hAnsi="仿宋" w:eastAsia="仿宋" w:cs="仿宋"/>
                <w:bCs/>
                <w:szCs w:val="21"/>
              </w:rPr>
              <w:t>4分</w:t>
            </w:r>
          </w:p>
        </w:tc>
        <w:tc>
          <w:tcPr>
            <w:tcW w:w="1188" w:type="dxa"/>
            <w:tcBorders>
              <w:lef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w:t>
            </w:r>
          </w:p>
          <w:p>
            <w:pPr>
              <w:tabs>
                <w:tab w:val="left" w:pos="1778"/>
              </w:tabs>
              <w:jc w:val="left"/>
              <w:rPr>
                <w:rFonts w:ascii="仿宋" w:hAnsi="仿宋" w:eastAsia="仿宋" w:cs="仿宋"/>
                <w:bCs/>
                <w:szCs w:val="21"/>
              </w:rPr>
            </w:pPr>
            <w:r>
              <w:rPr>
                <w:rFonts w:hint="eastAsia" w:ascii="仿宋" w:hAnsi="仿宋" w:eastAsia="仿宋" w:cs="仿宋"/>
                <w:bCs/>
                <w:szCs w:val="21"/>
              </w:rPr>
              <w:t>审查条件</w:t>
            </w:r>
          </w:p>
        </w:tc>
        <w:tc>
          <w:tcPr>
            <w:tcW w:w="733"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2.4</w:t>
            </w:r>
          </w:p>
        </w:tc>
        <w:tc>
          <w:tcPr>
            <w:tcW w:w="498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通过资格评审即得2.4分</w:t>
            </w:r>
          </w:p>
        </w:tc>
        <w:tc>
          <w:tcPr>
            <w:tcW w:w="1623" w:type="dxa"/>
            <w:vAlign w:val="center"/>
          </w:tcPr>
          <w:p>
            <w:pPr>
              <w:tabs>
                <w:tab w:val="left" w:pos="1778"/>
              </w:tabs>
              <w:jc w:val="left"/>
              <w:rPr>
                <w:rFonts w:ascii="仿宋" w:hAnsi="仿宋" w:eastAsia="仿宋" w:cs="仿宋"/>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tabs>
                <w:tab w:val="left" w:pos="1778"/>
              </w:tabs>
              <w:jc w:val="left"/>
              <w:rPr>
                <w:rFonts w:ascii="仿宋" w:hAnsi="仿宋" w:eastAsia="仿宋" w:cs="仿宋"/>
                <w:bCs/>
                <w:szCs w:val="21"/>
              </w:rPr>
            </w:pPr>
          </w:p>
        </w:tc>
        <w:tc>
          <w:tcPr>
            <w:tcW w:w="1188" w:type="dxa"/>
            <w:vMerge w:val="restart"/>
            <w:tcBorders>
              <w:lef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项目</w:t>
            </w:r>
          </w:p>
          <w:p>
            <w:pPr>
              <w:tabs>
                <w:tab w:val="left" w:pos="1778"/>
              </w:tabs>
              <w:jc w:val="left"/>
              <w:rPr>
                <w:rFonts w:ascii="仿宋" w:hAnsi="仿宋" w:eastAsia="仿宋" w:cs="仿宋"/>
                <w:bCs/>
                <w:szCs w:val="21"/>
              </w:rPr>
            </w:pPr>
            <w:r>
              <w:rPr>
                <w:rFonts w:hint="eastAsia" w:ascii="仿宋" w:hAnsi="仿宋" w:eastAsia="仿宋" w:cs="仿宋"/>
                <w:bCs/>
                <w:szCs w:val="21"/>
              </w:rPr>
              <w:t>总负责人</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733" w:type="dxa"/>
            <w:vMerge w:val="restart"/>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0.4</w:t>
            </w:r>
          </w:p>
        </w:tc>
        <w:tc>
          <w:tcPr>
            <w:tcW w:w="498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满足资格审查条件业绩最低要求之外，近5年以来，担任的新建或改扩建高速公路勘察设计合同段项目负责人业绩，每增加1个加0.4分，最多加0.4分。</w:t>
            </w:r>
          </w:p>
          <w:p>
            <w:pPr>
              <w:tabs>
                <w:tab w:val="left" w:pos="1778"/>
              </w:tabs>
              <w:jc w:val="left"/>
              <w:rPr>
                <w:rFonts w:ascii="仿宋" w:hAnsi="仿宋" w:eastAsia="仿宋" w:cs="仿宋"/>
                <w:bCs/>
                <w:szCs w:val="21"/>
              </w:rPr>
            </w:pPr>
            <w:r>
              <w:rPr>
                <w:rFonts w:hint="eastAsia" w:ascii="仿宋" w:hAnsi="仿宋" w:eastAsia="仿宋" w:cs="仿宋"/>
                <w:bCs/>
                <w:szCs w:val="21"/>
              </w:rPr>
              <w:t>或：</w:t>
            </w:r>
          </w:p>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满足资格审查条件业绩最低要求之外，近5年以来，担任的新建或改扩建高速公路基桥涵工程施工合同段项目经理业绩，每增加1个加0.4分，最多加0.4分。</w:t>
            </w:r>
          </w:p>
        </w:tc>
        <w:tc>
          <w:tcPr>
            <w:tcW w:w="1623"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独立投标的</w:t>
            </w:r>
          </w:p>
          <w:p>
            <w:pPr>
              <w:tabs>
                <w:tab w:val="left" w:pos="1778"/>
              </w:tabs>
              <w:jc w:val="left"/>
              <w:rPr>
                <w:rFonts w:ascii="仿宋" w:hAnsi="仿宋" w:eastAsia="仿宋" w:cs="仿宋"/>
                <w:bCs/>
                <w:szCs w:val="21"/>
              </w:rPr>
            </w:pPr>
            <w:r>
              <w:rPr>
                <w:rFonts w:hint="eastAsia" w:ascii="仿宋" w:hAnsi="仿宋" w:eastAsia="仿宋" w:cs="仿宋"/>
                <w:bCs/>
                <w:szCs w:val="21"/>
              </w:rPr>
              <w:t>投标人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tabs>
                <w:tab w:val="left" w:pos="1778"/>
              </w:tabs>
              <w:jc w:val="left"/>
              <w:rPr>
                <w:rFonts w:ascii="仿宋" w:hAnsi="仿宋" w:eastAsia="仿宋" w:cs="仿宋"/>
                <w:bCs/>
                <w:szCs w:val="21"/>
              </w:rPr>
            </w:pPr>
          </w:p>
        </w:tc>
        <w:tc>
          <w:tcPr>
            <w:tcW w:w="1188" w:type="dxa"/>
            <w:vMerge w:val="continue"/>
            <w:tcBorders>
              <w:left w:val="single" w:color="auto" w:sz="4" w:space="0"/>
            </w:tcBorders>
            <w:vAlign w:val="center"/>
          </w:tcPr>
          <w:p>
            <w:pPr>
              <w:tabs>
                <w:tab w:val="left" w:pos="1778"/>
              </w:tabs>
              <w:jc w:val="left"/>
              <w:rPr>
                <w:rFonts w:ascii="仿宋" w:hAnsi="仿宋" w:eastAsia="仿宋" w:cs="仿宋"/>
                <w:bCs/>
                <w:szCs w:val="21"/>
              </w:rPr>
            </w:pPr>
          </w:p>
        </w:tc>
        <w:tc>
          <w:tcPr>
            <w:tcW w:w="733" w:type="dxa"/>
            <w:vMerge w:val="continue"/>
            <w:vAlign w:val="center"/>
          </w:tcPr>
          <w:p>
            <w:pPr>
              <w:tabs>
                <w:tab w:val="left" w:pos="1778"/>
              </w:tabs>
              <w:jc w:val="left"/>
              <w:rPr>
                <w:rFonts w:ascii="仿宋" w:hAnsi="仿宋" w:eastAsia="仿宋" w:cs="仿宋"/>
                <w:bCs/>
                <w:szCs w:val="21"/>
              </w:rPr>
            </w:pPr>
          </w:p>
        </w:tc>
        <w:tc>
          <w:tcPr>
            <w:tcW w:w="498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满足资格审查条件业绩最低要求之外，近5年以来，担任的新建或改扩建高速公路勘察设计合同段负责人业绩，每增加1个加0.4分，最多加0.4分。</w:t>
            </w:r>
          </w:p>
        </w:tc>
        <w:tc>
          <w:tcPr>
            <w:tcW w:w="1623"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以联合体形式投标且承担施工图勘察设计专业分工联合体成员为联合体牵头人时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tabs>
                <w:tab w:val="left" w:pos="1778"/>
              </w:tabs>
              <w:jc w:val="left"/>
              <w:rPr>
                <w:rFonts w:ascii="仿宋" w:hAnsi="仿宋" w:eastAsia="仿宋" w:cs="仿宋"/>
                <w:bCs/>
                <w:szCs w:val="21"/>
              </w:rPr>
            </w:pPr>
          </w:p>
        </w:tc>
        <w:tc>
          <w:tcPr>
            <w:tcW w:w="1188" w:type="dxa"/>
            <w:vMerge w:val="continue"/>
            <w:tcBorders>
              <w:left w:val="single" w:color="auto" w:sz="4" w:space="0"/>
            </w:tcBorders>
            <w:vAlign w:val="center"/>
          </w:tcPr>
          <w:p>
            <w:pPr>
              <w:tabs>
                <w:tab w:val="left" w:pos="1778"/>
              </w:tabs>
              <w:jc w:val="left"/>
              <w:rPr>
                <w:rFonts w:ascii="仿宋" w:hAnsi="仿宋" w:eastAsia="仿宋" w:cs="仿宋"/>
                <w:bCs/>
                <w:szCs w:val="21"/>
              </w:rPr>
            </w:pPr>
          </w:p>
        </w:tc>
        <w:tc>
          <w:tcPr>
            <w:tcW w:w="733" w:type="dxa"/>
            <w:vMerge w:val="continue"/>
            <w:vAlign w:val="center"/>
          </w:tcPr>
          <w:p>
            <w:pPr>
              <w:tabs>
                <w:tab w:val="left" w:pos="1778"/>
              </w:tabs>
              <w:jc w:val="left"/>
              <w:rPr>
                <w:rFonts w:ascii="仿宋" w:hAnsi="仿宋" w:eastAsia="仿宋" w:cs="仿宋"/>
                <w:bCs/>
                <w:szCs w:val="21"/>
              </w:rPr>
            </w:pPr>
          </w:p>
        </w:tc>
        <w:tc>
          <w:tcPr>
            <w:tcW w:w="498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满足资格审查条件业绩最低要求之外，近5年以来，担任的新建或改扩建高速公路基桥涵工程施工合同段项目经理业绩，每增加1个加0.4分，最多加0.4分</w:t>
            </w:r>
          </w:p>
        </w:tc>
        <w:tc>
          <w:tcPr>
            <w:tcW w:w="1623"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以联合体形式投标且承担主体工程施工专业分工联合体成员为联合体牵头人时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tabs>
                <w:tab w:val="left" w:pos="1778"/>
              </w:tabs>
              <w:jc w:val="left"/>
              <w:rPr>
                <w:rFonts w:ascii="仿宋" w:hAnsi="仿宋" w:eastAsia="仿宋" w:cs="仿宋"/>
                <w:bCs/>
                <w:szCs w:val="21"/>
              </w:rPr>
            </w:pPr>
          </w:p>
        </w:tc>
        <w:tc>
          <w:tcPr>
            <w:tcW w:w="1188" w:type="dxa"/>
            <w:tcBorders>
              <w:lef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设计</w:t>
            </w:r>
          </w:p>
          <w:p>
            <w:pPr>
              <w:tabs>
                <w:tab w:val="left" w:pos="1778"/>
              </w:tabs>
              <w:jc w:val="left"/>
              <w:rPr>
                <w:rFonts w:ascii="仿宋" w:hAnsi="仿宋" w:eastAsia="仿宋" w:cs="仿宋"/>
                <w:bCs/>
                <w:szCs w:val="21"/>
              </w:rPr>
            </w:pPr>
            <w:r>
              <w:rPr>
                <w:rFonts w:hint="eastAsia" w:ascii="仿宋" w:hAnsi="仿宋" w:eastAsia="仿宋" w:cs="仿宋"/>
                <w:bCs/>
                <w:szCs w:val="21"/>
              </w:rPr>
              <w:t>负责人</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733"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0.4</w:t>
            </w:r>
          </w:p>
        </w:tc>
        <w:tc>
          <w:tcPr>
            <w:tcW w:w="498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满足资格审查条件业绩最低要求之外，近5年以来，担任的新建或改扩建高速公路勘察设计合同段项目负责人业绩，每增加1个加0.4分，最多加0.4分。</w:t>
            </w:r>
          </w:p>
        </w:tc>
        <w:tc>
          <w:tcPr>
            <w:tcW w:w="1623" w:type="dxa"/>
            <w:vAlign w:val="center"/>
          </w:tcPr>
          <w:p>
            <w:pPr>
              <w:tabs>
                <w:tab w:val="left" w:pos="1778"/>
              </w:tabs>
              <w:jc w:val="left"/>
              <w:rPr>
                <w:rFonts w:ascii="仿宋" w:hAnsi="仿宋" w:eastAsia="仿宋" w:cs="仿宋"/>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tabs>
                <w:tab w:val="left" w:pos="1778"/>
              </w:tabs>
              <w:jc w:val="left"/>
              <w:rPr>
                <w:rFonts w:ascii="仿宋" w:hAnsi="仿宋" w:eastAsia="仿宋" w:cs="仿宋"/>
                <w:bCs/>
                <w:szCs w:val="21"/>
              </w:rPr>
            </w:pPr>
          </w:p>
        </w:tc>
        <w:tc>
          <w:tcPr>
            <w:tcW w:w="1188" w:type="dxa"/>
            <w:tcBorders>
              <w:lef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施工</w:t>
            </w:r>
          </w:p>
          <w:p>
            <w:pPr>
              <w:tabs>
                <w:tab w:val="left" w:pos="1778"/>
              </w:tabs>
              <w:jc w:val="left"/>
              <w:rPr>
                <w:rFonts w:ascii="仿宋" w:hAnsi="仿宋" w:eastAsia="仿宋" w:cs="仿宋"/>
                <w:bCs/>
                <w:szCs w:val="21"/>
              </w:rPr>
            </w:pPr>
            <w:r>
              <w:rPr>
                <w:rFonts w:hint="eastAsia" w:ascii="仿宋" w:hAnsi="仿宋" w:eastAsia="仿宋" w:cs="仿宋"/>
                <w:bCs/>
                <w:szCs w:val="21"/>
              </w:rPr>
              <w:t>项目经理</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733"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0.4</w:t>
            </w:r>
          </w:p>
        </w:tc>
        <w:tc>
          <w:tcPr>
            <w:tcW w:w="498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满足资格审查条件业绩最低要求之外，近5年以来，担任的新建或改扩建高速公路基桥涵工程施工合同段项目经理业绩，每增加1个加0.4分，最多加0.4分。</w:t>
            </w:r>
          </w:p>
        </w:tc>
        <w:tc>
          <w:tcPr>
            <w:tcW w:w="1623" w:type="dxa"/>
            <w:vAlign w:val="center"/>
          </w:tcPr>
          <w:p>
            <w:pPr>
              <w:tabs>
                <w:tab w:val="left" w:pos="1778"/>
              </w:tabs>
              <w:jc w:val="left"/>
              <w:rPr>
                <w:rFonts w:ascii="仿宋" w:hAnsi="仿宋" w:eastAsia="仿宋" w:cs="仿宋"/>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vAlign w:val="center"/>
          </w:tcPr>
          <w:p>
            <w:pPr>
              <w:jc w:val="center"/>
              <w:rPr>
                <w:rFonts w:ascii="仿宋_GB2312" w:hAnsi="仿宋_GB2312" w:eastAsia="仿宋_GB2312" w:cs="仿宋_GB2312"/>
                <w:szCs w:val="21"/>
              </w:rPr>
            </w:pPr>
          </w:p>
        </w:tc>
        <w:tc>
          <w:tcPr>
            <w:tcW w:w="1188" w:type="dxa"/>
            <w:tcBorders>
              <w:lef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施工</w:t>
            </w:r>
          </w:p>
          <w:p>
            <w:pPr>
              <w:tabs>
                <w:tab w:val="left" w:pos="1778"/>
              </w:tabs>
              <w:jc w:val="left"/>
              <w:rPr>
                <w:rFonts w:ascii="仿宋" w:hAnsi="仿宋" w:eastAsia="仿宋" w:cs="仿宋"/>
                <w:bCs/>
                <w:szCs w:val="21"/>
              </w:rPr>
            </w:pPr>
            <w:r>
              <w:rPr>
                <w:rFonts w:hint="eastAsia" w:ascii="仿宋" w:hAnsi="仿宋" w:eastAsia="仿宋" w:cs="仿宋"/>
                <w:bCs/>
                <w:szCs w:val="21"/>
              </w:rPr>
              <w:t>项目总工</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733"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0.4</w:t>
            </w:r>
          </w:p>
        </w:tc>
        <w:tc>
          <w:tcPr>
            <w:tcW w:w="498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满足资格审查条件业绩最低要求之外，近5年以来，担任的新建或改扩建高速公路基桥涵工程施工合同段项目总工业绩，每增加1个加0.4分，最多加0.4分。</w:t>
            </w:r>
          </w:p>
        </w:tc>
        <w:tc>
          <w:tcPr>
            <w:tcW w:w="1623" w:type="dxa"/>
            <w:vAlign w:val="center"/>
          </w:tcPr>
          <w:p>
            <w:pPr>
              <w:tabs>
                <w:tab w:val="left" w:pos="1778"/>
              </w:tabs>
              <w:jc w:val="left"/>
              <w:rPr>
                <w:rFonts w:ascii="仿宋" w:hAnsi="仿宋" w:eastAsia="仿宋" w:cs="仿宋"/>
                <w:bCs/>
                <w:szCs w:val="21"/>
              </w:rPr>
            </w:pPr>
          </w:p>
        </w:tc>
      </w:tr>
    </w:tbl>
    <w:p>
      <w:pPr>
        <w:spacing w:line="360" w:lineRule="auto"/>
        <w:ind w:firstLine="562" w:firstLineChars="200"/>
        <w:rPr>
          <w:rFonts w:ascii="仿宋_GB2312" w:hAnsi="仿宋_GB2312" w:eastAsia="仿宋_GB2312" w:cs="仿宋_GB2312"/>
          <w:b/>
          <w:bCs/>
          <w:sz w:val="28"/>
          <w:szCs w:val="28"/>
        </w:rPr>
      </w:pPr>
    </w:p>
    <w:p>
      <w:pPr>
        <w:pStyle w:val="2"/>
        <w:rPr>
          <w:rFonts w:ascii="仿宋_GB2312" w:hAnsi="仿宋_GB2312" w:eastAsia="仿宋_GB2312" w:cs="仿宋_GB2312"/>
        </w:rPr>
      </w:pP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B.业绩及技术能力：7分</w:t>
      </w:r>
    </w:p>
    <w:tbl>
      <w:tblPr>
        <w:tblStyle w:val="4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54"/>
        <w:gridCol w:w="656"/>
        <w:gridCol w:w="696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4"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评分因素</w:t>
            </w:r>
          </w:p>
        </w:tc>
        <w:tc>
          <w:tcPr>
            <w:tcW w:w="656"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分值</w:t>
            </w:r>
          </w:p>
        </w:tc>
        <w:tc>
          <w:tcPr>
            <w:tcW w:w="6961" w:type="dxa"/>
            <w:vAlign w:val="center"/>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4" w:type="dxa"/>
            <w:tcBorders>
              <w:bottom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w:t>
            </w:r>
          </w:p>
          <w:p>
            <w:pPr>
              <w:tabs>
                <w:tab w:val="left" w:pos="1778"/>
              </w:tabs>
              <w:jc w:val="left"/>
              <w:rPr>
                <w:rFonts w:ascii="仿宋" w:hAnsi="仿宋" w:eastAsia="仿宋" w:cs="仿宋"/>
                <w:bCs/>
                <w:szCs w:val="21"/>
              </w:rPr>
            </w:pPr>
            <w:r>
              <w:rPr>
                <w:rFonts w:hint="eastAsia" w:ascii="仿宋" w:hAnsi="仿宋" w:eastAsia="仿宋" w:cs="仿宋"/>
                <w:bCs/>
                <w:szCs w:val="21"/>
              </w:rPr>
              <w:t>审查条件</w:t>
            </w:r>
          </w:p>
        </w:tc>
        <w:tc>
          <w:tcPr>
            <w:tcW w:w="656"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4.2</w:t>
            </w:r>
          </w:p>
        </w:tc>
        <w:tc>
          <w:tcPr>
            <w:tcW w:w="696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通过资格评审即得4.2分。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tcBorders>
              <w:top w:val="single" w:color="auto" w:sz="4" w:space="0"/>
            </w:tcBorders>
            <w:vAlign w:val="center"/>
          </w:tcPr>
          <w:p>
            <w:pPr>
              <w:tabs>
                <w:tab w:val="left" w:pos="1778"/>
              </w:tabs>
              <w:jc w:val="left"/>
              <w:rPr>
                <w:rFonts w:ascii="仿宋" w:hAnsi="仿宋" w:eastAsia="仿宋" w:cs="仿宋"/>
                <w:bCs/>
                <w:szCs w:val="21"/>
              </w:rPr>
            </w:pPr>
          </w:p>
          <w:p>
            <w:pPr>
              <w:tabs>
                <w:tab w:val="left" w:pos="1778"/>
              </w:tabs>
              <w:jc w:val="left"/>
              <w:rPr>
                <w:rFonts w:ascii="仿宋" w:hAnsi="仿宋" w:eastAsia="仿宋" w:cs="仿宋"/>
                <w:bCs/>
                <w:szCs w:val="21"/>
              </w:rPr>
            </w:pPr>
          </w:p>
          <w:p>
            <w:pPr>
              <w:tabs>
                <w:tab w:val="left" w:pos="1778"/>
              </w:tabs>
              <w:jc w:val="left"/>
              <w:rPr>
                <w:rFonts w:ascii="仿宋" w:hAnsi="仿宋" w:eastAsia="仿宋" w:cs="仿宋"/>
                <w:bCs/>
                <w:szCs w:val="21"/>
              </w:rPr>
            </w:pPr>
            <w:r>
              <w:rPr>
                <w:rFonts w:hint="eastAsia" w:ascii="仿宋" w:hAnsi="仿宋" w:eastAsia="仿宋" w:cs="仿宋"/>
                <w:bCs/>
                <w:szCs w:val="21"/>
              </w:rPr>
              <w:t>设计业绩</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656"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0.6</w:t>
            </w:r>
          </w:p>
        </w:tc>
        <w:tc>
          <w:tcPr>
            <w:tcW w:w="696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完成的新建或改扩建高速公路项目施工图勘察设计合同段业绩（应同时包括路基桥涵、路面、机电、交通安全设施、房建工程勘察设计内容），每增加1个加0.3分，最高加0.6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4" w:hRule="atLeast"/>
          <w:jc w:val="center"/>
        </w:trPr>
        <w:tc>
          <w:tcPr>
            <w:tcW w:w="1454"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施工业绩</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656"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0.6</w:t>
            </w:r>
          </w:p>
        </w:tc>
        <w:tc>
          <w:tcPr>
            <w:tcW w:w="696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满足资格审查条件业绩最低要求之外，近5年以来，完成的新建或改扩建高速公路路基桥涵工程施工合同段业绩，每增加1个加0.3分，最多加0.6分。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设计施工</w:t>
            </w:r>
          </w:p>
          <w:p>
            <w:pPr>
              <w:tabs>
                <w:tab w:val="left" w:pos="1778"/>
              </w:tabs>
              <w:jc w:val="left"/>
              <w:rPr>
                <w:rFonts w:ascii="仿宋" w:hAnsi="仿宋" w:eastAsia="仿宋" w:cs="仿宋"/>
                <w:bCs/>
                <w:szCs w:val="21"/>
              </w:rPr>
            </w:pPr>
            <w:r>
              <w:rPr>
                <w:rFonts w:hint="eastAsia" w:ascii="仿宋" w:hAnsi="仿宋" w:eastAsia="仿宋" w:cs="仿宋"/>
                <w:bCs/>
                <w:szCs w:val="21"/>
              </w:rPr>
              <w:t>总承包</w:t>
            </w:r>
          </w:p>
          <w:p>
            <w:pPr>
              <w:tabs>
                <w:tab w:val="left" w:pos="1778"/>
              </w:tabs>
              <w:jc w:val="left"/>
              <w:rPr>
                <w:rFonts w:ascii="仿宋" w:hAnsi="仿宋" w:eastAsia="仿宋" w:cs="仿宋"/>
                <w:bCs/>
                <w:szCs w:val="21"/>
              </w:rPr>
            </w:pPr>
            <w:r>
              <w:rPr>
                <w:rFonts w:hint="eastAsia" w:ascii="仿宋" w:hAnsi="仿宋" w:eastAsia="仿宋" w:cs="仿宋"/>
                <w:bCs/>
                <w:szCs w:val="21"/>
              </w:rPr>
              <w:t>业绩加分</w:t>
            </w:r>
          </w:p>
        </w:tc>
        <w:tc>
          <w:tcPr>
            <w:tcW w:w="656"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1.2</w:t>
            </w:r>
          </w:p>
        </w:tc>
        <w:tc>
          <w:tcPr>
            <w:tcW w:w="696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满足资格审查条件业绩最低要求之外，近5年以来，独立投标人或联合体牵头人完成的新建或改扩建高速公路设计施工总承包项目业绩，每增加1个加1.2分，最多加1.2分。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技术能力</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656"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0.4</w:t>
            </w:r>
          </w:p>
        </w:tc>
        <w:tc>
          <w:tcPr>
            <w:tcW w:w="6961"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投标人（以联合体形式投标包括各联合体成员）近5年以来，获得的与公路建设项目有关的国家级工法、专利（发明专利或实用新型专利）、国家或省级科学技术进步奖或优质工程奖，主编或参编过的国家、行业或地方标准，每有一项加0.1分，最多加0.4分。</w:t>
            </w:r>
          </w:p>
        </w:tc>
      </w:tr>
    </w:tbl>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C.财务能力：3分</w:t>
      </w:r>
    </w:p>
    <w:tbl>
      <w:tblPr>
        <w:tblStyle w:val="40"/>
        <w:tblW w:w="907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00"/>
        <w:gridCol w:w="1051"/>
        <w:gridCol w:w="650"/>
        <w:gridCol w:w="5683"/>
        <w:gridCol w:w="7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1" w:type="dxa"/>
            <w:gridSpan w:val="2"/>
            <w:tcBorders>
              <w:bottom w:val="single" w:color="auto" w:sz="4" w:space="0"/>
            </w:tcBorders>
            <w:vAlign w:val="center"/>
          </w:tcPr>
          <w:p>
            <w:pPr>
              <w:spacing w:line="360" w:lineRule="auto"/>
              <w:ind w:left="-69" w:leftChars="-33" w:right="-107" w:rightChars="-51"/>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评分因素</w:t>
            </w:r>
          </w:p>
        </w:tc>
        <w:tc>
          <w:tcPr>
            <w:tcW w:w="650" w:type="dxa"/>
            <w:tcBorders>
              <w:bottom w:val="single" w:color="auto" w:sz="4" w:space="0"/>
            </w:tcBorders>
            <w:vAlign w:val="center"/>
          </w:tcPr>
          <w:p>
            <w:pPr>
              <w:spacing w:line="360" w:lineRule="auto"/>
              <w:ind w:left="-69" w:leftChars="-33" w:right="-107" w:rightChars="-51"/>
              <w:jc w:val="center"/>
              <w:rPr>
                <w:rFonts w:ascii="仿宋_GB2312" w:hAnsi="仿宋_GB2312" w:eastAsia="仿宋_GB2312" w:cs="仿宋_GB2312"/>
                <w:b/>
                <w:bCs/>
                <w:szCs w:val="21"/>
              </w:rPr>
            </w:pPr>
            <w:r>
              <w:rPr>
                <w:rFonts w:hint="eastAsia" w:ascii="仿宋_GB2312" w:hAnsi="仿宋_GB2312" w:eastAsia="仿宋_GB2312" w:cs="仿宋_GB2312"/>
                <w:b/>
                <w:bCs/>
                <w:szCs w:val="21"/>
              </w:rPr>
              <w:t>分值</w:t>
            </w:r>
          </w:p>
        </w:tc>
        <w:tc>
          <w:tcPr>
            <w:tcW w:w="5683" w:type="dxa"/>
            <w:tcBorders>
              <w:bottom w:val="single" w:color="auto" w:sz="4" w:space="0"/>
              <w:right w:val="single" w:color="auto" w:sz="4" w:space="0"/>
            </w:tcBorders>
            <w:vAlign w:val="center"/>
          </w:tcPr>
          <w:p>
            <w:pPr>
              <w:spacing w:line="360" w:lineRule="auto"/>
              <w:ind w:left="-69" w:leftChars="-33" w:right="-107" w:rightChars="-51"/>
              <w:jc w:val="center"/>
              <w:rPr>
                <w:rFonts w:ascii="仿宋_GB2312" w:hAnsi="仿宋_GB2312" w:eastAsia="仿宋_GB2312" w:cs="仿宋_GB2312"/>
                <w:b/>
                <w:bCs/>
                <w:szCs w:val="21"/>
              </w:rPr>
            </w:pPr>
            <w:r>
              <w:rPr>
                <w:rFonts w:hint="eastAsia" w:ascii="仿宋_GB2312" w:hAnsi="仿宋_GB2312" w:eastAsia="仿宋_GB2312" w:cs="仿宋_GB2312"/>
                <w:b/>
                <w:bCs/>
                <w:szCs w:val="21"/>
              </w:rPr>
              <w:t>及评分标准</w:t>
            </w:r>
          </w:p>
        </w:tc>
        <w:tc>
          <w:tcPr>
            <w:tcW w:w="788" w:type="dxa"/>
            <w:tcBorders>
              <w:left w:val="single" w:color="auto" w:sz="4" w:space="0"/>
              <w:bottom w:val="single" w:color="auto" w:sz="4" w:space="0"/>
            </w:tcBorders>
            <w:vAlign w:val="center"/>
          </w:tcPr>
          <w:p>
            <w:pPr>
              <w:spacing w:line="360" w:lineRule="auto"/>
              <w:ind w:left="-69" w:leftChars="-33" w:right="-107" w:rightChars="-51"/>
              <w:jc w:val="center"/>
              <w:rPr>
                <w:rFonts w:ascii="仿宋_GB2312" w:hAnsi="仿宋_GB2312" w:eastAsia="仿宋_GB2312" w:cs="仿宋_GB2312"/>
                <w:b/>
                <w:bCs/>
                <w:szCs w:val="21"/>
              </w:rPr>
            </w:pPr>
            <w:r>
              <w:rPr>
                <w:rFonts w:hint="eastAsia" w:ascii="仿宋_GB2312" w:hAnsi="仿宋_GB2312" w:eastAsia="仿宋_GB2312" w:cs="仿宋_GB2312"/>
                <w:b/>
                <w:bCs/>
                <w:szCs w:val="21"/>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1" w:type="dxa"/>
            <w:gridSpan w:val="2"/>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资格审查条件</w:t>
            </w:r>
          </w:p>
        </w:tc>
        <w:tc>
          <w:tcPr>
            <w:tcW w:w="650" w:type="dxa"/>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1.8</w:t>
            </w:r>
          </w:p>
        </w:tc>
        <w:tc>
          <w:tcPr>
            <w:tcW w:w="5683" w:type="dxa"/>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通过资格评审即得1.8分。</w:t>
            </w:r>
          </w:p>
        </w:tc>
        <w:tc>
          <w:tcPr>
            <w:tcW w:w="788" w:type="dxa"/>
            <w:tcBorders>
              <w:top w:val="single" w:color="auto" w:sz="4" w:space="0"/>
              <w:left w:val="single" w:color="auto" w:sz="4" w:space="0"/>
              <w:bottom w:val="single" w:color="auto" w:sz="4" w:space="0"/>
              <w:right w:val="single" w:color="auto" w:sz="4" w:space="0"/>
            </w:tcBorders>
            <w:vAlign w:val="center"/>
          </w:tcPr>
          <w:p>
            <w:pPr>
              <w:tabs>
                <w:tab w:val="left" w:pos="1778"/>
              </w:tabs>
              <w:spacing w:line="360" w:lineRule="auto"/>
              <w:rPr>
                <w:rFonts w:ascii="仿宋_GB2312" w:hAnsi="仿宋_GB2312" w:eastAsia="仿宋_GB2312" w:cs="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40" w:hRule="atLeast"/>
          <w:jc w:val="center"/>
        </w:trPr>
        <w:tc>
          <w:tcPr>
            <w:tcW w:w="1951" w:type="dxa"/>
            <w:gridSpan w:val="2"/>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资产负债率加分</w:t>
            </w:r>
          </w:p>
        </w:tc>
        <w:tc>
          <w:tcPr>
            <w:tcW w:w="650" w:type="dxa"/>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0.6</w:t>
            </w:r>
          </w:p>
        </w:tc>
        <w:tc>
          <w:tcPr>
            <w:tcW w:w="5683" w:type="dxa"/>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2021年负债率等于80％不加分, 小于等于70%加0.6分，其间内插（保留两位小数，以下相同）。</w:t>
            </w:r>
          </w:p>
        </w:tc>
        <w:tc>
          <w:tcPr>
            <w:tcW w:w="788" w:type="dxa"/>
            <w:vMerge w:val="restart"/>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独立投标的投标 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8" w:hRule="atLeast"/>
          <w:jc w:val="center"/>
        </w:trPr>
        <w:tc>
          <w:tcPr>
            <w:tcW w:w="1951" w:type="dxa"/>
            <w:gridSpan w:val="2"/>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年营业额加分</w:t>
            </w:r>
          </w:p>
        </w:tc>
        <w:tc>
          <w:tcPr>
            <w:tcW w:w="650" w:type="dxa"/>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0.6</w:t>
            </w:r>
          </w:p>
        </w:tc>
        <w:tc>
          <w:tcPr>
            <w:tcW w:w="5683" w:type="dxa"/>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2021年营业收入等于6亿元不加分,大于等于9亿元加0.6分，其间内插。</w:t>
            </w:r>
          </w:p>
        </w:tc>
        <w:tc>
          <w:tcPr>
            <w:tcW w:w="788" w:type="dxa"/>
            <w:vMerge w:val="continue"/>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6" w:hRule="atLeast"/>
          <w:jc w:val="center"/>
        </w:trPr>
        <w:tc>
          <w:tcPr>
            <w:tcW w:w="1951" w:type="dxa"/>
            <w:gridSpan w:val="2"/>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资格审查条件</w:t>
            </w:r>
          </w:p>
        </w:tc>
        <w:tc>
          <w:tcPr>
            <w:tcW w:w="650" w:type="dxa"/>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1.8</w:t>
            </w:r>
          </w:p>
        </w:tc>
        <w:tc>
          <w:tcPr>
            <w:tcW w:w="5683" w:type="dxa"/>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通过资格评审即得1.8分。</w:t>
            </w:r>
          </w:p>
        </w:tc>
        <w:tc>
          <w:tcPr>
            <w:tcW w:w="788" w:type="dxa"/>
            <w:vMerge w:val="restart"/>
            <w:tcBorders>
              <w:top w:val="single" w:color="auto" w:sz="4" w:space="0"/>
              <w:left w:val="single" w:color="auto" w:sz="4" w:space="0"/>
              <w:bottom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以联合体形式投标的按此进行评分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07" w:hRule="atLeast"/>
          <w:jc w:val="center"/>
        </w:trPr>
        <w:tc>
          <w:tcPr>
            <w:tcW w:w="900" w:type="dxa"/>
            <w:vMerge w:val="restart"/>
            <w:tcBorders>
              <w:top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勘察设计专业分工单位</w:t>
            </w:r>
          </w:p>
        </w:tc>
        <w:tc>
          <w:tcPr>
            <w:tcW w:w="1051" w:type="dxa"/>
            <w:tcBorders>
              <w:top w:val="single" w:color="auto" w:sz="4" w:space="0"/>
              <w:lef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负债率</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650" w:type="dxa"/>
            <w:tcBorders>
              <w:top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0.3</w:t>
            </w:r>
          </w:p>
        </w:tc>
        <w:tc>
          <w:tcPr>
            <w:tcW w:w="5683" w:type="dxa"/>
            <w:tcBorders>
              <w:top w:val="single" w:color="auto" w:sz="4" w:space="0"/>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2021年负债率等于80％不加分,小于等于70%加0.3分, 其间内插。</w:t>
            </w:r>
          </w:p>
        </w:tc>
        <w:tc>
          <w:tcPr>
            <w:tcW w:w="788" w:type="dxa"/>
            <w:vMerge w:val="continue"/>
            <w:tcBorders>
              <w:top w:val="single" w:color="auto" w:sz="4" w:space="0"/>
              <w:left w:val="single" w:color="auto" w:sz="4" w:space="0"/>
              <w:right w:val="single" w:color="auto" w:sz="4" w:space="0"/>
            </w:tcBorders>
            <w:vAlign w:val="center"/>
          </w:tcPr>
          <w:p>
            <w:pPr>
              <w:tabs>
                <w:tab w:val="left" w:pos="1778"/>
              </w:tabs>
              <w:spacing w:line="360" w:lineRule="auto"/>
              <w:rPr>
                <w:rFonts w:ascii="仿宋_GB2312" w:hAnsi="仿宋_GB2312" w:eastAsia="仿宋_GB2312" w:cs="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35" w:hRule="atLeast"/>
          <w:jc w:val="center"/>
        </w:trPr>
        <w:tc>
          <w:tcPr>
            <w:tcW w:w="900" w:type="dxa"/>
            <w:vMerge w:val="continue"/>
            <w:tcBorders>
              <w:right w:val="single" w:color="auto" w:sz="4" w:space="0"/>
            </w:tcBorders>
            <w:vAlign w:val="center"/>
          </w:tcPr>
          <w:p>
            <w:pPr>
              <w:tabs>
                <w:tab w:val="left" w:pos="1778"/>
              </w:tabs>
              <w:jc w:val="left"/>
              <w:rPr>
                <w:rFonts w:ascii="仿宋" w:hAnsi="仿宋" w:eastAsia="仿宋" w:cs="仿宋"/>
                <w:bCs/>
                <w:szCs w:val="21"/>
              </w:rPr>
            </w:pPr>
          </w:p>
        </w:tc>
        <w:tc>
          <w:tcPr>
            <w:tcW w:w="1051" w:type="dxa"/>
            <w:tcBorders>
              <w:lef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营业额</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650"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0.3</w:t>
            </w:r>
          </w:p>
        </w:tc>
        <w:tc>
          <w:tcPr>
            <w:tcW w:w="5683" w:type="dxa"/>
            <w:tcBorders>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2021年营业收入等于1亿元不加分,大于等于2亿元加0.3分，其间内插。</w:t>
            </w:r>
          </w:p>
        </w:tc>
        <w:tc>
          <w:tcPr>
            <w:tcW w:w="788" w:type="dxa"/>
            <w:vMerge w:val="continue"/>
            <w:tcBorders>
              <w:left w:val="single" w:color="auto" w:sz="4" w:space="0"/>
              <w:right w:val="single" w:color="auto" w:sz="4" w:space="0"/>
            </w:tcBorders>
            <w:vAlign w:val="center"/>
          </w:tcPr>
          <w:p>
            <w:pPr>
              <w:tabs>
                <w:tab w:val="left" w:pos="1778"/>
              </w:tabs>
              <w:spacing w:line="360" w:lineRule="auto"/>
              <w:rPr>
                <w:rFonts w:ascii="仿宋_GB2312" w:hAnsi="仿宋_GB2312" w:eastAsia="仿宋_GB2312" w:cs="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50" w:hRule="atLeast"/>
          <w:jc w:val="center"/>
        </w:trPr>
        <w:tc>
          <w:tcPr>
            <w:tcW w:w="900" w:type="dxa"/>
            <w:vMerge w:val="restart"/>
            <w:tcBorders>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主体工程施工专业分工单位</w:t>
            </w:r>
          </w:p>
        </w:tc>
        <w:tc>
          <w:tcPr>
            <w:tcW w:w="1051" w:type="dxa"/>
            <w:tcBorders>
              <w:lef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负债率</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650"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0.3</w:t>
            </w:r>
          </w:p>
        </w:tc>
        <w:tc>
          <w:tcPr>
            <w:tcW w:w="5683" w:type="dxa"/>
            <w:tcBorders>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2021年负债率等于80％不加分, 小于等于70%加0.3分, 其间内插。</w:t>
            </w:r>
          </w:p>
        </w:tc>
        <w:tc>
          <w:tcPr>
            <w:tcW w:w="788" w:type="dxa"/>
            <w:vMerge w:val="continue"/>
            <w:tcBorders>
              <w:left w:val="single" w:color="auto" w:sz="4" w:space="0"/>
              <w:right w:val="single" w:color="auto" w:sz="4" w:space="0"/>
            </w:tcBorders>
            <w:vAlign w:val="center"/>
          </w:tcPr>
          <w:p>
            <w:pPr>
              <w:tabs>
                <w:tab w:val="left" w:pos="1778"/>
              </w:tabs>
              <w:spacing w:line="360" w:lineRule="auto"/>
              <w:rPr>
                <w:rFonts w:ascii="仿宋_GB2312" w:hAnsi="仿宋_GB2312" w:eastAsia="仿宋_GB2312" w:cs="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900" w:type="dxa"/>
            <w:vMerge w:val="continue"/>
            <w:tcBorders>
              <w:right w:val="single" w:color="auto" w:sz="4" w:space="0"/>
            </w:tcBorders>
            <w:vAlign w:val="center"/>
          </w:tcPr>
          <w:p>
            <w:pPr>
              <w:tabs>
                <w:tab w:val="left" w:pos="1778"/>
              </w:tabs>
              <w:jc w:val="left"/>
              <w:rPr>
                <w:rFonts w:ascii="仿宋" w:hAnsi="仿宋" w:eastAsia="仿宋" w:cs="仿宋"/>
                <w:bCs/>
                <w:szCs w:val="21"/>
              </w:rPr>
            </w:pPr>
          </w:p>
        </w:tc>
        <w:tc>
          <w:tcPr>
            <w:tcW w:w="1051" w:type="dxa"/>
            <w:tcBorders>
              <w:lef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营业额</w:t>
            </w:r>
          </w:p>
          <w:p>
            <w:pPr>
              <w:tabs>
                <w:tab w:val="left" w:pos="1778"/>
              </w:tabs>
              <w:jc w:val="left"/>
              <w:rPr>
                <w:rFonts w:ascii="仿宋" w:hAnsi="仿宋" w:eastAsia="仿宋" w:cs="仿宋"/>
                <w:bCs/>
                <w:szCs w:val="21"/>
              </w:rPr>
            </w:pPr>
            <w:r>
              <w:rPr>
                <w:rFonts w:hint="eastAsia" w:ascii="仿宋" w:hAnsi="仿宋" w:eastAsia="仿宋" w:cs="仿宋"/>
                <w:bCs/>
                <w:szCs w:val="21"/>
              </w:rPr>
              <w:t>加分</w:t>
            </w:r>
          </w:p>
        </w:tc>
        <w:tc>
          <w:tcPr>
            <w:tcW w:w="650"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0.3</w:t>
            </w:r>
          </w:p>
        </w:tc>
        <w:tc>
          <w:tcPr>
            <w:tcW w:w="5683" w:type="dxa"/>
            <w:tcBorders>
              <w:right w:val="single" w:color="auto" w:sz="4"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2021年营业收入等于5亿元不加分,大于等于7亿元加0.3分，其间内插。</w:t>
            </w:r>
          </w:p>
        </w:tc>
        <w:tc>
          <w:tcPr>
            <w:tcW w:w="788" w:type="dxa"/>
            <w:vMerge w:val="continue"/>
            <w:tcBorders>
              <w:left w:val="single" w:color="auto" w:sz="4" w:space="0"/>
              <w:right w:val="single" w:color="auto" w:sz="4" w:space="0"/>
            </w:tcBorders>
            <w:vAlign w:val="center"/>
          </w:tcPr>
          <w:p>
            <w:pPr>
              <w:tabs>
                <w:tab w:val="left" w:pos="1778"/>
              </w:tabs>
              <w:spacing w:line="360" w:lineRule="auto"/>
              <w:rPr>
                <w:rFonts w:ascii="仿宋_GB2312" w:hAnsi="仿宋_GB2312" w:eastAsia="仿宋_GB2312" w:cs="仿宋_GB2312"/>
                <w:szCs w:val="21"/>
              </w:rPr>
            </w:pPr>
          </w:p>
        </w:tc>
      </w:tr>
    </w:tbl>
    <w:p>
      <w:pPr>
        <w:spacing w:line="360" w:lineRule="auto"/>
        <w:ind w:firstLine="482" w:firstLineChars="200"/>
        <w:rPr>
          <w:rFonts w:ascii="仿宋_GB2312" w:hAnsi="仿宋_GB2312" w:eastAsia="仿宋_GB2312" w:cs="仿宋_GB2312"/>
          <w:b/>
          <w:bCs/>
          <w:sz w:val="24"/>
        </w:rPr>
      </w:pPr>
      <w:r>
        <w:rPr>
          <w:rFonts w:hint="eastAsia" w:ascii="仿宋_GB2312" w:hAnsi="仿宋_GB2312" w:eastAsia="仿宋_GB2312" w:cs="仿宋_GB2312"/>
          <w:b/>
          <w:bCs/>
          <w:sz w:val="24"/>
        </w:rPr>
        <w:t>注：以联合体形式投标时，若同一专业分工单位出现2个及以上的，则按照2021年营业额大小进行排序，取营业额低的单位进行财务能力评分。</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D.初步设计文件的优化建议和设计技术方案：10分</w:t>
      </w:r>
    </w:p>
    <w:tbl>
      <w:tblPr>
        <w:tblStyle w:val="4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215"/>
        <w:gridCol w:w="884"/>
        <w:gridCol w:w="497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21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评分因素</w:t>
            </w:r>
          </w:p>
        </w:tc>
        <w:tc>
          <w:tcPr>
            <w:tcW w:w="884"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分值</w:t>
            </w:r>
          </w:p>
        </w:tc>
        <w:tc>
          <w:tcPr>
            <w:tcW w:w="49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初步设计优化建议的工作方案和工作思路</w:t>
            </w:r>
          </w:p>
        </w:tc>
        <w:tc>
          <w:tcPr>
            <w:tcW w:w="884"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2</w:t>
            </w:r>
          </w:p>
        </w:tc>
        <w:tc>
          <w:tcPr>
            <w:tcW w:w="4972"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初步设计优化建议思路合理可行计1.8～2分；一般计1.4～1.8分；基本满足要求计1.2～1.4分。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各项工程初步设计优化建议</w:t>
            </w:r>
          </w:p>
        </w:tc>
        <w:tc>
          <w:tcPr>
            <w:tcW w:w="884"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3</w:t>
            </w:r>
          </w:p>
        </w:tc>
        <w:tc>
          <w:tcPr>
            <w:tcW w:w="4972"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建议合理可行计2.7～3分；一般计2.1～2.7分；基本满足要求计1.8～2.1分。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对招标项目的理解和总体设计思路</w:t>
            </w:r>
          </w:p>
        </w:tc>
        <w:tc>
          <w:tcPr>
            <w:tcW w:w="884"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w:t>
            </w:r>
          </w:p>
        </w:tc>
        <w:tc>
          <w:tcPr>
            <w:tcW w:w="4972"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理解、思路符合要求计划合理可行计0.9～1分；一般计0.7～0.9分；基本满足要求计0.6～0.7分。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对招标项目施工图设计的特点、关键性技术问题的认识及其对策措施</w:t>
            </w:r>
          </w:p>
        </w:tc>
        <w:tc>
          <w:tcPr>
            <w:tcW w:w="884"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w:t>
            </w:r>
          </w:p>
        </w:tc>
        <w:tc>
          <w:tcPr>
            <w:tcW w:w="4972"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认识到位、对策措施合理可行计0.9～1分；一般计0.7～0.9分；基本满足要求计0.6～0.7分。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地质详勘工作的工作措施</w:t>
            </w:r>
          </w:p>
        </w:tc>
        <w:tc>
          <w:tcPr>
            <w:tcW w:w="884"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w:t>
            </w:r>
          </w:p>
        </w:tc>
        <w:tc>
          <w:tcPr>
            <w:tcW w:w="4972"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分析准确、措施合理可行计0.9～1分；一般计0.7～0.9分；基本满足要求计0.6～0.7分。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施工图设计的工作量及计划安排</w:t>
            </w:r>
          </w:p>
        </w:tc>
        <w:tc>
          <w:tcPr>
            <w:tcW w:w="884"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w:t>
            </w:r>
          </w:p>
        </w:tc>
        <w:tc>
          <w:tcPr>
            <w:tcW w:w="4972"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计划安排合理可行计0.9～1分；一般计0.7～0.9分；基本满足要求计0.6～0.7分。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施工图设计的质量保证措施、进度保证措施</w:t>
            </w:r>
          </w:p>
        </w:tc>
        <w:tc>
          <w:tcPr>
            <w:tcW w:w="884"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1</w:t>
            </w:r>
          </w:p>
        </w:tc>
        <w:tc>
          <w:tcPr>
            <w:tcW w:w="4972" w:type="dxa"/>
            <w:tcBorders>
              <w:top w:val="single" w:color="auto" w:sz="6" w:space="0"/>
              <w:left w:val="single" w:color="auto" w:sz="6" w:space="0"/>
              <w:bottom w:val="single" w:color="auto" w:sz="6" w:space="0"/>
              <w:right w:val="single" w:color="auto" w:sz="6" w:space="0"/>
            </w:tcBorders>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方案完善、措施合理可行计0.9～1分；一般计0.7～0.9分；基本满足要求计0.6～0.7分。</w:t>
            </w:r>
          </w:p>
        </w:tc>
      </w:tr>
    </w:tbl>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E.设计施工总承包管理方案：10分</w:t>
      </w:r>
    </w:p>
    <w:tbl>
      <w:tblPr>
        <w:tblStyle w:val="4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266"/>
        <w:gridCol w:w="765"/>
        <w:gridCol w:w="50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2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评分因素</w:t>
            </w:r>
          </w:p>
        </w:tc>
        <w:tc>
          <w:tcPr>
            <w:tcW w:w="76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分值</w:t>
            </w:r>
          </w:p>
        </w:tc>
        <w:tc>
          <w:tcPr>
            <w:tcW w:w="504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本工程设计施工总承包管理制度与体系建设方案</w:t>
            </w:r>
          </w:p>
        </w:tc>
        <w:tc>
          <w:tcPr>
            <w:tcW w:w="765"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2</w:t>
            </w:r>
          </w:p>
        </w:tc>
        <w:tc>
          <w:tcPr>
            <w:tcW w:w="504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方案完善、合理可行计1.8～2分；一般计1.4～1.8分；基本满足要求计1.2～1.4分。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专项设计与施工之间协调的管理方案</w:t>
            </w:r>
          </w:p>
        </w:tc>
        <w:tc>
          <w:tcPr>
            <w:tcW w:w="765"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2</w:t>
            </w:r>
          </w:p>
        </w:tc>
        <w:tc>
          <w:tcPr>
            <w:tcW w:w="504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方案完善、合理可行计1.8～2分；一般计1.4～1.8分；基本满足要求计1.2～1.4分。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设计施工总承包质量、进度与安全管理方案</w:t>
            </w:r>
          </w:p>
        </w:tc>
        <w:tc>
          <w:tcPr>
            <w:tcW w:w="765"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2</w:t>
            </w:r>
          </w:p>
        </w:tc>
        <w:tc>
          <w:tcPr>
            <w:tcW w:w="504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方案完善、合理可行计1.8～2分；一般计1.4～1.8分；基本满足要求计1.2～1.4分。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设计施工总承包合同管理方案</w:t>
            </w:r>
          </w:p>
        </w:tc>
        <w:tc>
          <w:tcPr>
            <w:tcW w:w="765"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2</w:t>
            </w:r>
          </w:p>
        </w:tc>
        <w:tc>
          <w:tcPr>
            <w:tcW w:w="504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方案完善、合理可行计1.8～2分；一般计1.4～1.8分；基本满足要求计1.2～1.4分。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tcBorders>
              <w:top w:val="single" w:color="auto" w:sz="6" w:space="0"/>
              <w:left w:val="single" w:color="auto" w:sz="6" w:space="0"/>
              <w:bottom w:val="single" w:color="auto" w:sz="6" w:space="0"/>
              <w:right w:val="single" w:color="auto" w:sz="6" w:space="0"/>
            </w:tcBorders>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本工程设计施工总承包管理重点难点分析与解决方案</w:t>
            </w:r>
          </w:p>
        </w:tc>
        <w:tc>
          <w:tcPr>
            <w:tcW w:w="765" w:type="dxa"/>
            <w:tcBorders>
              <w:top w:val="single" w:color="auto" w:sz="6" w:space="0"/>
              <w:left w:val="single" w:color="auto" w:sz="6" w:space="0"/>
              <w:bottom w:val="single" w:color="auto" w:sz="6" w:space="0"/>
              <w:right w:val="single" w:color="auto" w:sz="6" w:space="0"/>
            </w:tcBorders>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2</w:t>
            </w:r>
          </w:p>
        </w:tc>
        <w:tc>
          <w:tcPr>
            <w:tcW w:w="5040" w:type="dxa"/>
            <w:tcBorders>
              <w:top w:val="single" w:color="auto" w:sz="6" w:space="0"/>
              <w:left w:val="single" w:color="auto" w:sz="6" w:space="0"/>
              <w:bottom w:val="single" w:color="auto" w:sz="6" w:space="0"/>
              <w:right w:val="single" w:color="auto" w:sz="6" w:space="0"/>
            </w:tcBorders>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分析准确、方案合理可行计1.8～2分；一般计1.4～1.8分；基本满足要求计1.2～1.4分。</w:t>
            </w:r>
          </w:p>
        </w:tc>
      </w:tr>
    </w:tbl>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F.施工组织设计：10分</w:t>
      </w:r>
    </w:p>
    <w:tbl>
      <w:tblPr>
        <w:tblStyle w:val="4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243"/>
        <w:gridCol w:w="720"/>
        <w:gridCol w:w="51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243"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评分因素</w:t>
            </w:r>
          </w:p>
        </w:tc>
        <w:tc>
          <w:tcPr>
            <w:tcW w:w="72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分值</w:t>
            </w:r>
          </w:p>
        </w:tc>
        <w:tc>
          <w:tcPr>
            <w:tcW w:w="5108"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总体施工组织布置及规划</w:t>
            </w:r>
          </w:p>
        </w:tc>
        <w:tc>
          <w:tcPr>
            <w:tcW w:w="72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2</w:t>
            </w:r>
          </w:p>
        </w:tc>
        <w:tc>
          <w:tcPr>
            <w:tcW w:w="5108"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总体组织布置及规划合理可行计1.8～2分；一般计1.4～1.8分；基本满足要求计1.2～1.4分。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91" w:hRule="atLeast"/>
          <w:jc w:val="center"/>
        </w:trPr>
        <w:tc>
          <w:tcPr>
            <w:tcW w:w="3243"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主要工程项目的施工方案、方法与技术措施（特别对重点、关键和难点工程）</w:t>
            </w:r>
          </w:p>
        </w:tc>
        <w:tc>
          <w:tcPr>
            <w:tcW w:w="72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2</w:t>
            </w:r>
          </w:p>
        </w:tc>
        <w:tc>
          <w:tcPr>
            <w:tcW w:w="5108"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施工方案、方法与技术措施合理可行，符合本工程实际，重点难点突出计1.8～2分；一般计1.4～1.8分；基本满足要求计1.2～1.4分。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工期保证体系及保证措施</w:t>
            </w:r>
          </w:p>
        </w:tc>
        <w:tc>
          <w:tcPr>
            <w:tcW w:w="72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1</w:t>
            </w:r>
          </w:p>
        </w:tc>
        <w:tc>
          <w:tcPr>
            <w:tcW w:w="5108"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质量管理体系及保证措施</w:t>
            </w:r>
          </w:p>
        </w:tc>
        <w:tc>
          <w:tcPr>
            <w:tcW w:w="72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1</w:t>
            </w:r>
          </w:p>
        </w:tc>
        <w:tc>
          <w:tcPr>
            <w:tcW w:w="5108"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安全生产管理体系及保证措施</w:t>
            </w:r>
          </w:p>
        </w:tc>
        <w:tc>
          <w:tcPr>
            <w:tcW w:w="72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1</w:t>
            </w:r>
          </w:p>
        </w:tc>
        <w:tc>
          <w:tcPr>
            <w:tcW w:w="5108"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文明施工管理体系及保证措施</w:t>
            </w:r>
          </w:p>
        </w:tc>
        <w:tc>
          <w:tcPr>
            <w:tcW w:w="72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1</w:t>
            </w:r>
          </w:p>
        </w:tc>
        <w:tc>
          <w:tcPr>
            <w:tcW w:w="5108"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3243"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本工程风险预测与防范，事故应急预案</w:t>
            </w:r>
          </w:p>
        </w:tc>
        <w:tc>
          <w:tcPr>
            <w:tcW w:w="720"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2</w:t>
            </w:r>
          </w:p>
        </w:tc>
        <w:tc>
          <w:tcPr>
            <w:tcW w:w="5108"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预测分析全面，防范措施、应急预案合理可行，符合本工程实际计1.8～2分；一般计1.4～1.8分；基本满足要求计1.2～1.4分。</w:t>
            </w:r>
          </w:p>
        </w:tc>
      </w:tr>
    </w:tbl>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G.履约信誉：5分</w:t>
      </w:r>
    </w:p>
    <w:tbl>
      <w:tblPr>
        <w:tblStyle w:val="4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15"/>
        <w:gridCol w:w="817"/>
        <w:gridCol w:w="67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5" w:type="dxa"/>
            <w:vAlign w:val="center"/>
          </w:tcPr>
          <w:p>
            <w:pPr>
              <w:jc w:val="center"/>
              <w:rPr>
                <w:rFonts w:ascii="仿宋_GB2312" w:hAnsi="仿宋_GB2312" w:eastAsia="仿宋_GB2312" w:cs="仿宋_GB2312"/>
                <w:b/>
                <w:szCs w:val="21"/>
              </w:rPr>
            </w:pPr>
            <w:r>
              <w:rPr>
                <w:rFonts w:hint="eastAsia" w:ascii="仿宋_GB2312" w:hAnsi="仿宋_GB2312" w:eastAsia="仿宋_GB2312" w:cs="仿宋_GB2312"/>
                <w:b/>
                <w:szCs w:val="21"/>
              </w:rPr>
              <w:t>评分项目</w:t>
            </w:r>
          </w:p>
        </w:tc>
        <w:tc>
          <w:tcPr>
            <w:tcW w:w="817" w:type="dxa"/>
            <w:vAlign w:val="center"/>
          </w:tcPr>
          <w:p>
            <w:pPr>
              <w:jc w:val="center"/>
              <w:rPr>
                <w:rFonts w:ascii="仿宋_GB2312" w:hAnsi="仿宋_GB2312" w:eastAsia="仿宋_GB2312" w:cs="仿宋_GB2312"/>
                <w:b/>
                <w:szCs w:val="21"/>
              </w:rPr>
            </w:pPr>
            <w:r>
              <w:rPr>
                <w:rFonts w:hint="eastAsia" w:ascii="仿宋_GB2312" w:hAnsi="仿宋_GB2312" w:eastAsia="仿宋_GB2312" w:cs="仿宋_GB2312"/>
                <w:b/>
                <w:szCs w:val="21"/>
              </w:rPr>
              <w:t>分值</w:t>
            </w:r>
          </w:p>
        </w:tc>
        <w:tc>
          <w:tcPr>
            <w:tcW w:w="6739" w:type="dxa"/>
            <w:vAlign w:val="center"/>
          </w:tcPr>
          <w:p>
            <w:pPr>
              <w:jc w:val="center"/>
              <w:rPr>
                <w:rFonts w:ascii="仿宋_GB2312" w:hAnsi="仿宋_GB2312" w:eastAsia="仿宋_GB2312" w:cs="仿宋_GB2312"/>
                <w:b/>
                <w:szCs w:val="21"/>
              </w:rPr>
            </w:pPr>
            <w:r>
              <w:rPr>
                <w:rFonts w:hint="eastAsia" w:ascii="仿宋_GB2312" w:hAnsi="仿宋_GB2312" w:eastAsia="仿宋_GB2312" w:cs="仿宋_GB2312"/>
                <w:b/>
                <w:szCs w:val="21"/>
              </w:rPr>
              <w:t>评分因素细分项及评分标准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806" w:hRule="atLeast"/>
          <w:jc w:val="center"/>
        </w:trPr>
        <w:tc>
          <w:tcPr>
            <w:tcW w:w="1515"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信用评价</w:t>
            </w:r>
          </w:p>
        </w:tc>
        <w:tc>
          <w:tcPr>
            <w:tcW w:w="817" w:type="dxa"/>
            <w:vAlign w:val="center"/>
          </w:tcPr>
          <w:p>
            <w:pPr>
              <w:tabs>
                <w:tab w:val="left" w:pos="1778"/>
              </w:tabs>
              <w:jc w:val="center"/>
              <w:rPr>
                <w:rFonts w:ascii="仿宋" w:hAnsi="仿宋" w:eastAsia="仿宋" w:cs="仿宋"/>
                <w:bCs/>
                <w:szCs w:val="21"/>
              </w:rPr>
            </w:pPr>
            <w:r>
              <w:rPr>
                <w:rFonts w:hint="eastAsia" w:ascii="仿宋" w:hAnsi="仿宋" w:eastAsia="仿宋" w:cs="仿宋"/>
                <w:bCs/>
                <w:szCs w:val="21"/>
              </w:rPr>
              <w:t>5</w:t>
            </w:r>
          </w:p>
        </w:tc>
        <w:tc>
          <w:tcPr>
            <w:tcW w:w="6739" w:type="dxa"/>
            <w:vAlign w:val="center"/>
          </w:tcPr>
          <w:p>
            <w:pPr>
              <w:tabs>
                <w:tab w:val="left" w:pos="1778"/>
              </w:tabs>
              <w:jc w:val="left"/>
              <w:rPr>
                <w:rFonts w:ascii="仿宋" w:hAnsi="仿宋" w:eastAsia="仿宋" w:cs="仿宋"/>
                <w:bCs/>
                <w:szCs w:val="21"/>
              </w:rPr>
            </w:pPr>
            <w:r>
              <w:rPr>
                <w:rFonts w:hint="eastAsia" w:ascii="仿宋" w:hAnsi="仿宋" w:eastAsia="仿宋" w:cs="仿宋"/>
                <w:bCs/>
                <w:szCs w:val="21"/>
              </w:rPr>
              <w:t>根据陕西省交通运输厅《关于公布陕西省2021年度高速公路设计施工及公路监理从业企业信用评价结果应用的通知》（陕交函[2022]619号）文件规定：</w:t>
            </w:r>
          </w:p>
          <w:p>
            <w:pPr>
              <w:tabs>
                <w:tab w:val="left" w:pos="1778"/>
              </w:tabs>
              <w:jc w:val="left"/>
              <w:rPr>
                <w:rFonts w:ascii="仿宋" w:hAnsi="仿宋" w:eastAsia="仿宋" w:cs="仿宋"/>
                <w:bCs/>
                <w:szCs w:val="21"/>
              </w:rPr>
            </w:pPr>
            <w:r>
              <w:rPr>
                <w:rFonts w:hint="eastAsia" w:ascii="仿宋" w:hAnsi="仿宋" w:eastAsia="仿宋" w:cs="仿宋"/>
                <w:bCs/>
                <w:szCs w:val="21"/>
              </w:rPr>
              <w:t>独立投标人或联合体牵头人被评为高速公路设计企业或主体工程施工类别AA级企业得5分；A级企业得3分；B级、C级企不得分。</w:t>
            </w:r>
          </w:p>
        </w:tc>
      </w:tr>
    </w:tbl>
    <w:p>
      <w:pPr>
        <w:spacing w:line="360" w:lineRule="auto"/>
        <w:rPr>
          <w:rFonts w:ascii="仿宋_GB2312" w:hAnsi="仿宋_GB2312" w:eastAsia="仿宋_GB2312" w:cs="仿宋_GB2312"/>
          <w:b/>
          <w:szCs w:val="21"/>
        </w:rPr>
      </w:pPr>
      <w:r>
        <w:rPr>
          <w:rFonts w:hint="eastAsia" w:ascii="仿宋_GB2312" w:hAnsi="仿宋_GB2312" w:eastAsia="仿宋_GB2312" w:cs="仿宋_GB2312"/>
          <w:b/>
          <w:bCs/>
          <w:sz w:val="18"/>
          <w:szCs w:val="18"/>
        </w:rPr>
        <w:t>说明：</w:t>
      </w:r>
      <w:r>
        <w:rPr>
          <w:rFonts w:hint="eastAsia" w:ascii="仿宋_GB2312" w:hAnsi="仿宋_GB2312" w:eastAsia="仿宋_GB2312" w:cs="仿宋_GB2312"/>
          <w:b/>
          <w:bCs/>
          <w:szCs w:val="21"/>
        </w:rPr>
        <w:t>对具有陕西省2020年度信用评价等级而无2021年度信用评价等级的企业，其2020年度信用评价等级延续1年；初次进入陕西省的企业，按照全国综合评价等级确定。延续省厅上一年信用评价结果后仍无信用评价结果的，按照全国综合评价结果对待，但不得高于省厅原评价等级的上一级。无全国综合评价结果的企业，且无不良信用行为，其信用评价等级按A级对待。联合体牵头人为承担勘察设计专业分工的单位时，对应按照高速公路设计企业类别信用评价等级进行评分，为承担主体工程施工专业分工的单位时，对应按照主体工程施工类别信用评价等级进行评分。</w:t>
      </w:r>
    </w:p>
    <w:p>
      <w:pPr>
        <w:spacing w:line="360" w:lineRule="auto"/>
        <w:ind w:firstLine="482" w:firstLineChars="200"/>
        <w:rPr>
          <w:rFonts w:ascii="仿宋_GB2312" w:hAnsi="仿宋_GB2312" w:eastAsia="仿宋_GB2312" w:cs="仿宋_GB2312"/>
          <w:b/>
          <w:bCs/>
          <w:sz w:val="24"/>
        </w:rPr>
      </w:pPr>
      <w:r>
        <w:rPr>
          <w:rFonts w:hint="eastAsia" w:ascii="仿宋_GB2312" w:hAnsi="仿宋_GB2312" w:eastAsia="仿宋_GB2312" w:cs="仿宋_GB2312"/>
          <w:b/>
          <w:bCs/>
          <w:sz w:val="24"/>
        </w:rPr>
        <w:t>注：A-1、D、E、F各评分因素得分以评标委员会各成员的打分平均值确定，该平均值以去掉一个最高分和一个最低分后计算。评标委员会成员对某一项评分因素的评分低于分值60%的，应当在评标报告中作出说明。</w:t>
      </w:r>
    </w:p>
    <w:p>
      <w:pPr>
        <w:jc w:val="left"/>
        <w:rPr>
          <w:rFonts w:ascii="仿宋_GB2312" w:hAnsi="仿宋_GB2312" w:eastAsia="仿宋_GB2312" w:cs="仿宋_GB2312"/>
          <w:b/>
          <w:sz w:val="24"/>
        </w:rPr>
      </w:pPr>
    </w:p>
    <w:p>
      <w:pPr>
        <w:pStyle w:val="2"/>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pStyle w:val="39"/>
        <w:rPr>
          <w:rFonts w:ascii="仿宋_GB2312" w:hAnsi="仿宋_GB2312" w:eastAsia="仿宋_GB2312" w:cs="仿宋_GB2312"/>
        </w:rPr>
      </w:pPr>
    </w:p>
    <w:p>
      <w:pPr>
        <w:rPr>
          <w:rFonts w:ascii="仿宋_GB2312" w:hAnsi="仿宋_GB2312" w:eastAsia="仿宋_GB2312" w:cs="仿宋_GB2312"/>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360" w:lineRule="auto"/>
        <w:ind w:firstLine="643" w:firstLineChars="200"/>
        <w:jc w:val="center"/>
        <w:rPr>
          <w:rFonts w:hint="eastAsia" w:ascii="仿宋" w:hAnsi="仿宋" w:eastAsia="仿宋" w:cs="Times New Roman"/>
          <w:b/>
          <w:bCs/>
          <w:sz w:val="32"/>
          <w:szCs w:val="32"/>
          <w:lang w:val="en-US" w:eastAsia="zh-CN"/>
        </w:rPr>
      </w:pPr>
    </w:p>
    <w:p>
      <w:pPr>
        <w:spacing w:line="360" w:lineRule="auto"/>
        <w:ind w:firstLine="643" w:firstLineChars="200"/>
        <w:jc w:val="center"/>
        <w:rPr>
          <w:rFonts w:hint="eastAsia" w:ascii="仿宋" w:hAnsi="仿宋" w:eastAsia="仿宋" w:cs="Times New Roman"/>
          <w:b/>
          <w:bCs/>
          <w:sz w:val="32"/>
          <w:szCs w:val="32"/>
          <w:lang w:val="en-US" w:eastAsia="zh-CN"/>
        </w:rPr>
      </w:pPr>
      <w:r>
        <w:rPr>
          <w:rFonts w:hint="eastAsia" w:ascii="仿宋" w:hAnsi="仿宋" w:eastAsia="仿宋" w:cs="Times New Roman"/>
          <w:b/>
          <w:bCs/>
          <w:sz w:val="32"/>
          <w:szCs w:val="32"/>
          <w:lang w:val="en-US" w:eastAsia="zh-CN"/>
        </w:rPr>
        <w:t>“评标办法”正文见《标准设计施工总承包招标文件》</w:t>
      </w:r>
    </w:p>
    <w:p>
      <w:pPr>
        <w:spacing w:line="360" w:lineRule="auto"/>
        <w:ind w:firstLine="643" w:firstLineChars="200"/>
        <w:jc w:val="center"/>
        <w:rPr>
          <w:rFonts w:hint="eastAsia" w:ascii="仿宋" w:hAnsi="仿宋" w:eastAsia="仿宋" w:cs="Times New Roman"/>
          <w:b/>
          <w:bCs/>
          <w:sz w:val="32"/>
          <w:szCs w:val="32"/>
          <w:lang w:val="en-US" w:eastAsia="zh-CN"/>
        </w:rPr>
      </w:pPr>
      <w:r>
        <w:rPr>
          <w:rFonts w:hint="eastAsia" w:ascii="仿宋" w:hAnsi="仿宋" w:eastAsia="仿宋" w:cs="Times New Roman"/>
          <w:b/>
          <w:bCs/>
          <w:sz w:val="32"/>
          <w:szCs w:val="32"/>
          <w:lang w:val="en-US" w:eastAsia="zh-CN"/>
        </w:rPr>
        <w:t>（2012年版）</w:t>
      </w:r>
    </w:p>
    <w:p>
      <w:pPr>
        <w:pStyle w:val="39"/>
      </w:pPr>
    </w:p>
    <w:p/>
    <w:p>
      <w:pPr>
        <w:pStyle w:val="2"/>
      </w:pPr>
    </w:p>
    <w:p/>
    <w:p>
      <w:pPr>
        <w:pStyle w:val="2"/>
      </w:pPr>
    </w:p>
    <w:p/>
    <w:p>
      <w:pPr>
        <w:pStyle w:val="2"/>
      </w:pPr>
    </w:p>
    <w:p/>
    <w:p>
      <w:pPr>
        <w:pStyle w:val="2"/>
      </w:pPr>
    </w:p>
    <w:p/>
    <w:p>
      <w:pPr>
        <w:pStyle w:val="2"/>
      </w:pPr>
    </w:p>
    <w:p/>
    <w:p>
      <w:pPr>
        <w:pStyle w:val="2"/>
      </w:pPr>
    </w:p>
    <w:p/>
    <w:p>
      <w:pPr>
        <w:pStyle w:val="2"/>
      </w:pPr>
    </w:p>
    <w:p>
      <w:pPr>
        <w:tabs>
          <w:tab w:val="left" w:pos="1778"/>
        </w:tabs>
        <w:spacing w:line="360" w:lineRule="auto"/>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四、招标人联系方式</w:t>
      </w:r>
    </w:p>
    <w:p>
      <w:pPr>
        <w:spacing w:line="520" w:lineRule="exact"/>
        <w:ind w:firstLine="549"/>
        <w:rPr>
          <w:rFonts w:hint="eastAsia" w:ascii="仿宋" w:hAnsi="仿宋" w:eastAsia="仿宋" w:cs="仿宋"/>
          <w:bCs/>
          <w:sz w:val="28"/>
          <w:szCs w:val="28"/>
        </w:rPr>
      </w:pPr>
      <w:bookmarkStart w:id="1" w:name="_GoBack"/>
      <w:bookmarkEnd w:id="1"/>
      <w:r>
        <w:rPr>
          <w:rFonts w:hint="eastAsia" w:ascii="仿宋" w:hAnsi="仿宋" w:eastAsia="仿宋" w:cs="仿宋"/>
          <w:bCs/>
          <w:sz w:val="28"/>
          <w:szCs w:val="28"/>
        </w:rPr>
        <w:t>招 标 人：陕西交通控股集团有限公司</w:t>
      </w:r>
    </w:p>
    <w:p>
      <w:pPr>
        <w:spacing w:line="520" w:lineRule="exact"/>
        <w:ind w:firstLine="549"/>
        <w:rPr>
          <w:rFonts w:hint="eastAsia" w:ascii="仿宋" w:hAnsi="仿宋" w:eastAsia="仿宋" w:cs="仿宋"/>
          <w:bCs/>
          <w:sz w:val="28"/>
          <w:szCs w:val="28"/>
        </w:rPr>
      </w:pPr>
      <w:r>
        <w:rPr>
          <w:rFonts w:hint="eastAsia" w:ascii="仿宋" w:hAnsi="仿宋" w:eastAsia="仿宋" w:cs="仿宋"/>
          <w:bCs/>
          <w:sz w:val="28"/>
          <w:szCs w:val="28"/>
        </w:rPr>
        <w:t>地    址：陕西省西安市太白南路9号</w:t>
      </w:r>
    </w:p>
    <w:p>
      <w:pPr>
        <w:spacing w:line="520" w:lineRule="exact"/>
        <w:ind w:firstLine="549"/>
        <w:rPr>
          <w:rFonts w:hint="eastAsia" w:ascii="仿宋" w:hAnsi="仿宋" w:eastAsia="仿宋" w:cs="仿宋"/>
          <w:bCs/>
          <w:sz w:val="28"/>
          <w:szCs w:val="28"/>
        </w:rPr>
      </w:pPr>
      <w:r>
        <w:rPr>
          <w:rFonts w:hint="eastAsia" w:ascii="仿宋" w:hAnsi="仿宋" w:eastAsia="仿宋" w:cs="仿宋"/>
          <w:bCs/>
          <w:sz w:val="28"/>
          <w:szCs w:val="28"/>
        </w:rPr>
        <w:t>邮政编码：710065</w:t>
      </w:r>
    </w:p>
    <w:p>
      <w:pPr>
        <w:spacing w:line="520" w:lineRule="exact"/>
        <w:ind w:firstLine="549"/>
        <w:rPr>
          <w:rFonts w:hint="eastAsia" w:ascii="仿宋" w:hAnsi="仿宋" w:eastAsia="仿宋" w:cs="仿宋"/>
          <w:bCs/>
          <w:sz w:val="28"/>
          <w:szCs w:val="28"/>
        </w:rPr>
      </w:pPr>
      <w:r>
        <w:rPr>
          <w:rFonts w:hint="eastAsia" w:ascii="仿宋" w:hAnsi="仿宋" w:eastAsia="仿宋" w:cs="仿宋"/>
          <w:bCs/>
          <w:sz w:val="28"/>
          <w:szCs w:val="28"/>
        </w:rPr>
        <w:t>联 系 人：丁先生</w:t>
      </w:r>
    </w:p>
    <w:p>
      <w:pPr>
        <w:spacing w:line="520" w:lineRule="exact"/>
        <w:ind w:firstLine="549"/>
        <w:rPr>
          <w:rFonts w:hint="eastAsia" w:ascii="仿宋" w:hAnsi="仿宋" w:eastAsia="仿宋" w:cs="仿宋"/>
          <w:bCs/>
          <w:sz w:val="28"/>
          <w:szCs w:val="28"/>
        </w:rPr>
      </w:pPr>
      <w:r>
        <w:rPr>
          <w:rFonts w:hint="eastAsia" w:ascii="仿宋" w:hAnsi="仿宋" w:eastAsia="仿宋" w:cs="仿宋"/>
          <w:bCs/>
          <w:sz w:val="28"/>
          <w:szCs w:val="28"/>
        </w:rPr>
        <w:t>电    话：029-85560216</w:t>
      </w:r>
    </w:p>
    <w:p>
      <w:pPr>
        <w:spacing w:line="520" w:lineRule="exact"/>
        <w:ind w:firstLine="549"/>
        <w:rPr>
          <w:rFonts w:hint="eastAsia" w:ascii="仿宋" w:hAnsi="仿宋" w:eastAsia="仿宋" w:cs="仿宋"/>
          <w:bCs/>
          <w:sz w:val="28"/>
          <w:szCs w:val="28"/>
        </w:rPr>
      </w:pPr>
      <w:r>
        <w:rPr>
          <w:rFonts w:hint="eastAsia" w:ascii="仿宋" w:hAnsi="仿宋" w:eastAsia="仿宋" w:cs="仿宋"/>
          <w:bCs/>
          <w:sz w:val="28"/>
          <w:szCs w:val="28"/>
        </w:rPr>
        <w:t>邮    箱：593442001@qq.com</w:t>
      </w:r>
    </w:p>
    <w:p>
      <w:pPr>
        <w:spacing w:line="520" w:lineRule="exact"/>
        <w:ind w:firstLine="549"/>
        <w:rPr>
          <w:rFonts w:hint="eastAsia" w:ascii="仿宋" w:hAnsi="仿宋" w:eastAsia="仿宋" w:cs="仿宋"/>
          <w:bCs/>
          <w:sz w:val="28"/>
          <w:szCs w:val="28"/>
        </w:rPr>
      </w:pPr>
    </w:p>
    <w:p>
      <w:pPr>
        <w:spacing w:line="520" w:lineRule="exact"/>
        <w:ind w:firstLine="549"/>
        <w:rPr>
          <w:rFonts w:hint="eastAsia" w:ascii="仿宋" w:hAnsi="仿宋" w:eastAsia="仿宋" w:cs="仿宋"/>
          <w:bCs/>
          <w:sz w:val="28"/>
          <w:szCs w:val="28"/>
        </w:rPr>
      </w:pPr>
    </w:p>
    <w:p>
      <w:pPr>
        <w:spacing w:line="520" w:lineRule="exact"/>
        <w:ind w:firstLine="549"/>
        <w:rPr>
          <w:rFonts w:hint="eastAsia" w:ascii="仿宋" w:hAnsi="仿宋" w:eastAsia="仿宋" w:cs="仿宋"/>
          <w:bCs/>
          <w:sz w:val="28"/>
          <w:szCs w:val="28"/>
        </w:rPr>
      </w:pPr>
    </w:p>
    <w:p>
      <w:pPr>
        <w:spacing w:line="520" w:lineRule="exact"/>
        <w:ind w:firstLine="549"/>
        <w:rPr>
          <w:rFonts w:hint="eastAsia" w:ascii="仿宋" w:hAnsi="仿宋" w:eastAsia="仿宋" w:cs="仿宋"/>
          <w:bCs/>
          <w:sz w:val="28"/>
          <w:szCs w:val="28"/>
        </w:rPr>
      </w:pPr>
    </w:p>
    <w:p>
      <w:pPr>
        <w:spacing w:line="520" w:lineRule="exact"/>
        <w:ind w:firstLine="549"/>
        <w:rPr>
          <w:rFonts w:hint="eastAsia" w:ascii="仿宋" w:hAnsi="仿宋" w:eastAsia="仿宋" w:cs="仿宋"/>
          <w:bCs/>
          <w:sz w:val="28"/>
          <w:szCs w:val="28"/>
        </w:rPr>
      </w:pPr>
    </w:p>
    <w:p>
      <w:pPr>
        <w:spacing w:line="520" w:lineRule="exact"/>
        <w:ind w:firstLine="549"/>
        <w:rPr>
          <w:rFonts w:hint="eastAsia" w:ascii="仿宋" w:hAnsi="仿宋" w:eastAsia="仿宋" w:cs="仿宋"/>
          <w:bCs/>
          <w:sz w:val="28"/>
          <w:szCs w:val="28"/>
        </w:rPr>
      </w:pPr>
    </w:p>
    <w:p>
      <w:pPr>
        <w:pStyle w:val="13"/>
        <w:rPr>
          <w:rFonts w:hint="eastAsia" w:ascii="宋体" w:hAnsi="宋体" w:eastAsia="宋体"/>
          <w:b/>
          <w:sz w:val="24"/>
        </w:rPr>
      </w:pPr>
    </w:p>
    <w:p>
      <w:pPr>
        <w:rPr>
          <w:rFonts w:hint="eastAsia" w:ascii="宋体" w:hAnsi="宋体"/>
          <w:b/>
          <w:sz w:val="24"/>
        </w:rPr>
      </w:pPr>
    </w:p>
    <w:p>
      <w:pPr>
        <w:pStyle w:val="13"/>
        <w:rPr>
          <w:rFonts w:hint="eastAsia" w:ascii="宋体" w:hAnsi="宋体" w:eastAsia="宋体"/>
          <w:b/>
          <w:sz w:val="24"/>
        </w:rPr>
      </w:pPr>
    </w:p>
    <w:p>
      <w:pPr>
        <w:rPr>
          <w:rFonts w:hint="eastAsia"/>
        </w:rPr>
      </w:pPr>
    </w:p>
    <w:p>
      <w:pPr>
        <w:rPr>
          <w:rFonts w:hint="eastAsia" w:ascii="宋体" w:hAnsi="宋体"/>
          <w:b/>
          <w:sz w:val="24"/>
        </w:rPr>
      </w:pPr>
    </w:p>
    <w:p>
      <w:pPr>
        <w:pStyle w:val="13"/>
        <w:rPr>
          <w:rFonts w:hint="eastAsia" w:ascii="宋体" w:hAnsi="宋体" w:eastAsia="宋体"/>
          <w:b/>
          <w:sz w:val="24"/>
        </w:rPr>
      </w:pPr>
    </w:p>
    <w:p>
      <w:pPr>
        <w:rPr>
          <w:rFonts w:hint="eastAsia" w:ascii="宋体" w:hAnsi="宋体"/>
          <w:b/>
          <w:sz w:val="24"/>
        </w:rPr>
      </w:pPr>
    </w:p>
    <w:p>
      <w:pPr>
        <w:pStyle w:val="13"/>
        <w:rPr>
          <w:rFonts w:hint="eastAsia" w:ascii="宋体" w:hAnsi="宋体" w:eastAsia="宋体"/>
          <w:b/>
          <w:sz w:val="24"/>
        </w:rPr>
      </w:pPr>
    </w:p>
    <w:p>
      <w:pPr>
        <w:rPr>
          <w:rFonts w:hint="eastAsia" w:ascii="宋体" w:hAnsi="宋体"/>
          <w:b/>
          <w:sz w:val="24"/>
        </w:rPr>
      </w:pPr>
    </w:p>
    <w:p>
      <w:pPr>
        <w:pStyle w:val="13"/>
        <w:rPr>
          <w:rFonts w:hint="eastAsia" w:ascii="宋体" w:hAnsi="宋体" w:eastAsia="宋体"/>
          <w:b/>
          <w:sz w:val="24"/>
        </w:rPr>
      </w:pPr>
    </w:p>
    <w:p>
      <w:pPr>
        <w:rPr>
          <w:rFonts w:hint="eastAsia" w:ascii="宋体" w:hAnsi="宋体"/>
          <w:b/>
          <w:sz w:val="24"/>
        </w:rPr>
      </w:pPr>
    </w:p>
    <w:p>
      <w:pPr>
        <w:pStyle w:val="2"/>
        <w:rPr>
          <w:rFonts w:hint="eastAsia" w:ascii="宋体" w:hAnsi="宋体"/>
          <w:b/>
        </w:rPr>
      </w:pPr>
    </w:p>
    <w:p>
      <w:pPr>
        <w:rPr>
          <w:rFonts w:hint="eastAsia" w:ascii="宋体" w:hAnsi="宋体"/>
          <w:b/>
          <w:sz w:val="24"/>
        </w:rPr>
      </w:pPr>
    </w:p>
    <w:p>
      <w:pPr>
        <w:pStyle w:val="2"/>
        <w:rPr>
          <w:rFonts w:hint="eastAsia" w:ascii="宋体" w:hAnsi="宋体"/>
          <w:b/>
        </w:rPr>
      </w:pPr>
    </w:p>
    <w:p>
      <w:pPr>
        <w:rPr>
          <w:rFonts w:hint="eastAsia" w:ascii="宋体" w:hAnsi="宋体"/>
          <w:b/>
          <w:sz w:val="24"/>
        </w:rPr>
      </w:pPr>
    </w:p>
    <w:p>
      <w:pPr>
        <w:pStyle w:val="39"/>
        <w:ind w:firstLine="482"/>
        <w:rPr>
          <w:rFonts w:hint="eastAsia"/>
          <w:b/>
          <w:sz w:val="24"/>
        </w:rPr>
      </w:pPr>
    </w:p>
    <w:p>
      <w:pPr>
        <w:rPr>
          <w:rFonts w:hint="eastAsia" w:ascii="宋体" w:hAnsi="宋体"/>
          <w:b/>
          <w:sz w:val="24"/>
        </w:rPr>
      </w:pPr>
    </w:p>
    <w:p>
      <w:pPr>
        <w:pStyle w:val="39"/>
        <w:ind w:firstLine="482"/>
        <w:rPr>
          <w:rFonts w:hint="eastAsia"/>
          <w:b/>
          <w:sz w:val="24"/>
        </w:rPr>
      </w:pPr>
    </w:p>
    <w:p>
      <w:pPr>
        <w:rPr>
          <w:rFonts w:hint="eastAsia" w:ascii="宋体" w:hAnsi="宋体"/>
          <w:b/>
          <w:sz w:val="24"/>
        </w:rPr>
      </w:pPr>
    </w:p>
    <w:p>
      <w:pPr>
        <w:pStyle w:val="39"/>
        <w:ind w:firstLine="482"/>
        <w:rPr>
          <w:rFonts w:hint="eastAsia"/>
          <w:b/>
          <w:sz w:val="24"/>
        </w:rPr>
      </w:pPr>
    </w:p>
    <w:p>
      <w:pPr>
        <w:rPr>
          <w:rFonts w:hint="eastAsia" w:ascii="宋体" w:hAnsi="宋体"/>
          <w:b/>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1560EB"/>
    <w:multiLevelType w:val="singleLevel"/>
    <w:tmpl w:val="B01560EB"/>
    <w:lvl w:ilvl="0" w:tentative="0">
      <w:start w:val="4"/>
      <w:numFmt w:val="decimal"/>
      <w:lvlText w:val="%1."/>
      <w:lvlJc w:val="left"/>
      <w:pPr>
        <w:tabs>
          <w:tab w:val="left" w:pos="312"/>
        </w:tabs>
      </w:pPr>
    </w:lvl>
  </w:abstractNum>
  <w:abstractNum w:abstractNumId="1">
    <w:nsid w:val="0000000E"/>
    <w:multiLevelType w:val="multilevel"/>
    <w:tmpl w:val="0000000E"/>
    <w:lvl w:ilvl="0" w:tentative="0">
      <w:start w:val="1"/>
      <w:numFmt w:val="upperLetter"/>
      <w:pStyle w:val="9"/>
      <w:lvlText w:val="%1、"/>
      <w:lvlJc w:val="left"/>
      <w:pPr>
        <w:tabs>
          <w:tab w:val="left" w:pos="2820"/>
        </w:tabs>
        <w:ind w:left="2820" w:hanging="720"/>
      </w:pPr>
      <w:rPr>
        <w:rFonts w:hint="eastAsia"/>
      </w:rPr>
    </w:lvl>
    <w:lvl w:ilvl="1" w:tentative="0">
      <w:start w:val="1"/>
      <w:numFmt w:val="lowerLetter"/>
      <w:lvlText w:val="%2)"/>
      <w:lvlJc w:val="left"/>
      <w:pPr>
        <w:tabs>
          <w:tab w:val="left" w:pos="2940"/>
        </w:tabs>
        <w:ind w:left="2940" w:hanging="420"/>
      </w:pPr>
    </w:lvl>
    <w:lvl w:ilvl="2" w:tentative="0">
      <w:start w:val="1"/>
      <w:numFmt w:val="lowerRoman"/>
      <w:lvlText w:val="%3."/>
      <w:lvlJc w:val="right"/>
      <w:pPr>
        <w:tabs>
          <w:tab w:val="left" w:pos="3360"/>
        </w:tabs>
        <w:ind w:left="3360" w:hanging="420"/>
      </w:pPr>
    </w:lvl>
    <w:lvl w:ilvl="3" w:tentative="0">
      <w:start w:val="1"/>
      <w:numFmt w:val="decimal"/>
      <w:lvlText w:val="%4."/>
      <w:lvlJc w:val="left"/>
      <w:pPr>
        <w:tabs>
          <w:tab w:val="left" w:pos="3780"/>
        </w:tabs>
        <w:ind w:left="3780" w:hanging="420"/>
      </w:pPr>
    </w:lvl>
    <w:lvl w:ilvl="4" w:tentative="0">
      <w:start w:val="1"/>
      <w:numFmt w:val="lowerLetter"/>
      <w:lvlText w:val="%5)"/>
      <w:lvlJc w:val="left"/>
      <w:pPr>
        <w:tabs>
          <w:tab w:val="left" w:pos="4200"/>
        </w:tabs>
        <w:ind w:left="4200" w:hanging="420"/>
      </w:pPr>
    </w:lvl>
    <w:lvl w:ilvl="5" w:tentative="0">
      <w:start w:val="1"/>
      <w:numFmt w:val="lowerRoman"/>
      <w:lvlText w:val="%6."/>
      <w:lvlJc w:val="right"/>
      <w:pPr>
        <w:tabs>
          <w:tab w:val="left" w:pos="4620"/>
        </w:tabs>
        <w:ind w:left="4620" w:hanging="420"/>
      </w:pPr>
    </w:lvl>
    <w:lvl w:ilvl="6" w:tentative="0">
      <w:start w:val="1"/>
      <w:numFmt w:val="decimal"/>
      <w:lvlText w:val="%7."/>
      <w:lvlJc w:val="left"/>
      <w:pPr>
        <w:tabs>
          <w:tab w:val="left" w:pos="5040"/>
        </w:tabs>
        <w:ind w:left="5040" w:hanging="420"/>
      </w:pPr>
    </w:lvl>
    <w:lvl w:ilvl="7" w:tentative="0">
      <w:start w:val="1"/>
      <w:numFmt w:val="lowerLetter"/>
      <w:lvlText w:val="%8)"/>
      <w:lvlJc w:val="left"/>
      <w:pPr>
        <w:tabs>
          <w:tab w:val="left" w:pos="5460"/>
        </w:tabs>
        <w:ind w:left="5460" w:hanging="420"/>
      </w:pPr>
    </w:lvl>
    <w:lvl w:ilvl="8" w:tentative="0">
      <w:start w:val="1"/>
      <w:numFmt w:val="lowerRoman"/>
      <w:lvlText w:val="%9."/>
      <w:lvlJc w:val="right"/>
      <w:pPr>
        <w:tabs>
          <w:tab w:val="left" w:pos="5880"/>
        </w:tabs>
        <w:ind w:left="5880" w:hanging="420"/>
      </w:pPr>
    </w:lvl>
  </w:abstractNum>
  <w:abstractNum w:abstractNumId="2">
    <w:nsid w:val="5563F868"/>
    <w:multiLevelType w:val="singleLevel"/>
    <w:tmpl w:val="5563F868"/>
    <w:lvl w:ilvl="0" w:tentative="0">
      <w:start w:val="1"/>
      <w:numFmt w:val="decimal"/>
      <w:pStyle w:val="7"/>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yNDk2NjYyZDI0NDNmNTE5MTdlYWJkNjNlYjY2Y2QifQ=="/>
  </w:docVars>
  <w:rsids>
    <w:rsidRoot w:val="00E36B0C"/>
    <w:rsid w:val="00393436"/>
    <w:rsid w:val="007E69AC"/>
    <w:rsid w:val="007F4874"/>
    <w:rsid w:val="00A037C3"/>
    <w:rsid w:val="00B21B52"/>
    <w:rsid w:val="00B94B18"/>
    <w:rsid w:val="00DC6AEC"/>
    <w:rsid w:val="00E36B0C"/>
    <w:rsid w:val="03617BC0"/>
    <w:rsid w:val="07B41D1B"/>
    <w:rsid w:val="1491797C"/>
    <w:rsid w:val="18430201"/>
    <w:rsid w:val="2CA97B38"/>
    <w:rsid w:val="53A0433F"/>
    <w:rsid w:val="566340D7"/>
    <w:rsid w:val="5E7F0E4B"/>
    <w:rsid w:val="638F3CB9"/>
    <w:rsid w:val="689E5F8F"/>
    <w:rsid w:val="6C2A2CC0"/>
    <w:rsid w:val="6E6A491D"/>
    <w:rsid w:val="70682F45"/>
    <w:rsid w:val="747C4ED2"/>
    <w:rsid w:val="7B9A2F59"/>
    <w:rsid w:val="7E633F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qFormat="1" w:uiPriority="99" w:semiHidden="0" w:name="toa heading"/>
    <w:lsdException w:qFormat="1" w:unhideWhenUsed="0" w:uiPriority="0" w:semiHidden="0"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nhideWhenUsed="0" w:uiPriority="0" w:semiHidden="0"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iPriority="99" w:name="HTML Keyboard"/>
    <w:lsdException w:qFormat="1" w:unhideWhenUsed="0" w:uiPriority="0" w:semiHidden="0" w:name="HTML Preformatted"/>
    <w:lsdException w:uiPriority="99"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8"/>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59"/>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60"/>
    <w:qFormat/>
    <w:uiPriority w:val="0"/>
    <w:pPr>
      <w:keepNext/>
      <w:keepLines/>
      <w:spacing w:before="260" w:after="260" w:line="416" w:lineRule="auto"/>
      <w:outlineLvl w:val="2"/>
    </w:pPr>
    <w:rPr>
      <w:b/>
      <w:bCs/>
      <w:sz w:val="32"/>
      <w:szCs w:val="32"/>
    </w:rPr>
  </w:style>
  <w:style w:type="paragraph" w:styleId="6">
    <w:name w:val="heading 4"/>
    <w:basedOn w:val="1"/>
    <w:next w:val="1"/>
    <w:link w:val="61"/>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62"/>
    <w:qFormat/>
    <w:uiPriority w:val="0"/>
    <w:pPr>
      <w:keepNext/>
      <w:numPr>
        <w:ilvl w:val="0"/>
        <w:numId w:val="1"/>
      </w:numPr>
      <w:tabs>
        <w:tab w:val="left" w:pos="2820"/>
      </w:tabs>
      <w:ind w:left="540"/>
      <w:outlineLvl w:val="4"/>
    </w:pPr>
    <w:rPr>
      <w:sz w:val="28"/>
    </w:rPr>
  </w:style>
  <w:style w:type="paragraph" w:styleId="8">
    <w:name w:val="heading 6"/>
    <w:basedOn w:val="1"/>
    <w:next w:val="1"/>
    <w:link w:val="63"/>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kern w:val="0"/>
      <w:sz w:val="24"/>
    </w:rPr>
  </w:style>
  <w:style w:type="paragraph" w:styleId="9">
    <w:name w:val="heading 7"/>
    <w:basedOn w:val="1"/>
    <w:next w:val="1"/>
    <w:link w:val="64"/>
    <w:qFormat/>
    <w:uiPriority w:val="0"/>
    <w:pPr>
      <w:keepNext/>
      <w:numPr>
        <w:ilvl w:val="0"/>
        <w:numId w:val="2"/>
      </w:numPr>
      <w:tabs>
        <w:tab w:val="left" w:pos="0"/>
      </w:tabs>
      <w:outlineLvl w:val="6"/>
    </w:pPr>
    <w:rPr>
      <w:sz w:val="28"/>
      <w:szCs w:val="20"/>
    </w:rPr>
  </w:style>
  <w:style w:type="paragraph" w:styleId="10">
    <w:name w:val="heading 8"/>
    <w:basedOn w:val="1"/>
    <w:next w:val="1"/>
    <w:link w:val="65"/>
    <w:qFormat/>
    <w:uiPriority w:val="0"/>
    <w:pPr>
      <w:keepNext/>
      <w:ind w:firstLine="360"/>
      <w:outlineLvl w:val="7"/>
    </w:pPr>
    <w:rPr>
      <w:sz w:val="28"/>
    </w:rPr>
  </w:style>
  <w:style w:type="paragraph" w:styleId="11">
    <w:name w:val="heading 9"/>
    <w:basedOn w:val="1"/>
    <w:next w:val="1"/>
    <w:link w:val="66"/>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42">
    <w:name w:val="Default Paragraph Font"/>
    <w:semiHidden/>
    <w:unhideWhenUsed/>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Theme="majorHAnsi" w:hAnsiTheme="majorHAnsi" w:eastAsiaTheme="majorEastAsia" w:cstheme="majorBidi"/>
      <w:sz w:val="24"/>
    </w:rPr>
  </w:style>
  <w:style w:type="paragraph" w:styleId="12">
    <w:name w:val="Normal Indent"/>
    <w:basedOn w:val="1"/>
    <w:qFormat/>
    <w:uiPriority w:val="0"/>
    <w:pPr>
      <w:ind w:firstLine="420"/>
    </w:pPr>
    <w:rPr>
      <w:szCs w:val="20"/>
    </w:rPr>
  </w:style>
  <w:style w:type="paragraph" w:styleId="13">
    <w:name w:val="caption"/>
    <w:basedOn w:val="1"/>
    <w:next w:val="1"/>
    <w:qFormat/>
    <w:uiPriority w:val="0"/>
    <w:rPr>
      <w:rFonts w:ascii="Arial" w:hAnsi="Arial" w:eastAsia="黑体"/>
      <w:sz w:val="20"/>
    </w:rPr>
  </w:style>
  <w:style w:type="paragraph" w:styleId="14">
    <w:name w:val="Document Map"/>
    <w:basedOn w:val="1"/>
    <w:link w:val="82"/>
    <w:qFormat/>
    <w:uiPriority w:val="0"/>
    <w:pPr>
      <w:shd w:val="clear" w:color="auto" w:fill="000080"/>
    </w:pPr>
    <w:rPr>
      <w:rFonts w:asciiTheme="minorHAnsi" w:hAnsiTheme="minorHAnsi" w:cstheme="minorBidi"/>
    </w:rPr>
  </w:style>
  <w:style w:type="paragraph" w:styleId="15">
    <w:name w:val="annotation text"/>
    <w:basedOn w:val="1"/>
    <w:link w:val="116"/>
    <w:semiHidden/>
    <w:qFormat/>
    <w:uiPriority w:val="0"/>
    <w:pPr>
      <w:jc w:val="left"/>
    </w:pPr>
    <w:rPr>
      <w:rFonts w:asciiTheme="minorHAnsi" w:hAnsiTheme="minorHAnsi" w:cstheme="minorBidi"/>
    </w:rPr>
  </w:style>
  <w:style w:type="paragraph" w:styleId="16">
    <w:name w:val="Body Text 3"/>
    <w:basedOn w:val="1"/>
    <w:link w:val="158"/>
    <w:qFormat/>
    <w:uiPriority w:val="0"/>
    <w:rPr>
      <w:rFonts w:ascii="宋体" w:hAnsiTheme="minorHAnsi" w:cstheme="minorBidi"/>
      <w:sz w:val="24"/>
      <w:szCs w:val="22"/>
    </w:rPr>
  </w:style>
  <w:style w:type="paragraph" w:styleId="17">
    <w:name w:val="Body Text"/>
    <w:basedOn w:val="1"/>
    <w:next w:val="1"/>
    <w:link w:val="160"/>
    <w:qFormat/>
    <w:uiPriority w:val="0"/>
    <w:pPr>
      <w:spacing w:after="120"/>
    </w:pPr>
    <w:rPr>
      <w:rFonts w:asciiTheme="minorHAnsi" w:hAnsiTheme="minorHAnsi" w:cstheme="minorBidi"/>
    </w:rPr>
  </w:style>
  <w:style w:type="paragraph" w:styleId="18">
    <w:name w:val="Body Text Indent"/>
    <w:basedOn w:val="1"/>
    <w:next w:val="19"/>
    <w:link w:val="114"/>
    <w:uiPriority w:val="0"/>
    <w:pPr>
      <w:autoSpaceDE w:val="0"/>
      <w:autoSpaceDN w:val="0"/>
      <w:adjustRightInd w:val="0"/>
      <w:spacing w:line="500" w:lineRule="exact"/>
      <w:ind w:firstLine="538" w:firstLineChars="192"/>
    </w:pPr>
    <w:rPr>
      <w:rFonts w:ascii="宋体" w:hAnsi="宋体" w:cstheme="minorBidi"/>
      <w:sz w:val="28"/>
      <w:szCs w:val="21"/>
    </w:rPr>
  </w:style>
  <w:style w:type="paragraph" w:styleId="19">
    <w:name w:val="annotation subject"/>
    <w:basedOn w:val="15"/>
    <w:next w:val="1"/>
    <w:link w:val="76"/>
    <w:qFormat/>
    <w:uiPriority w:val="0"/>
    <w:rPr>
      <w:b/>
      <w:bCs/>
    </w:rPr>
  </w:style>
  <w:style w:type="paragraph" w:styleId="20">
    <w:name w:val="List 2"/>
    <w:basedOn w:val="1"/>
    <w:qFormat/>
    <w:uiPriority w:val="0"/>
    <w:pPr>
      <w:ind w:left="100" w:hanging="200"/>
    </w:pPr>
  </w:style>
  <w:style w:type="paragraph" w:styleId="21">
    <w:name w:val="toc 3"/>
    <w:basedOn w:val="1"/>
    <w:next w:val="1"/>
    <w:qFormat/>
    <w:uiPriority w:val="0"/>
    <w:pPr>
      <w:tabs>
        <w:tab w:val="right" w:leader="dot" w:pos="9628"/>
      </w:tabs>
      <w:spacing w:line="360" w:lineRule="auto"/>
      <w:ind w:left="899" w:leftChars="260" w:hanging="353" w:hangingChars="147"/>
    </w:pPr>
    <w:rPr>
      <w:sz w:val="24"/>
    </w:rPr>
  </w:style>
  <w:style w:type="paragraph" w:styleId="22">
    <w:name w:val="Plain Text"/>
    <w:basedOn w:val="1"/>
    <w:link w:val="144"/>
    <w:qFormat/>
    <w:uiPriority w:val="0"/>
    <w:rPr>
      <w:rFonts w:ascii="宋体" w:hAnsi="Courier New" w:cs="黑体"/>
      <w:szCs w:val="21"/>
    </w:rPr>
  </w:style>
  <w:style w:type="paragraph" w:styleId="23">
    <w:name w:val="Date"/>
    <w:basedOn w:val="1"/>
    <w:next w:val="1"/>
    <w:link w:val="88"/>
    <w:qFormat/>
    <w:uiPriority w:val="0"/>
    <w:pPr>
      <w:ind w:left="100" w:leftChars="2500"/>
    </w:pPr>
    <w:rPr>
      <w:rFonts w:ascii="宋体" w:hAnsi="宋体" w:eastAsia="仿宋_GB2312" w:cstheme="minorBidi"/>
      <w:bCs/>
      <w:sz w:val="24"/>
    </w:rPr>
  </w:style>
  <w:style w:type="paragraph" w:styleId="24">
    <w:name w:val="Body Text Indent 2"/>
    <w:basedOn w:val="1"/>
    <w:link w:val="92"/>
    <w:qFormat/>
    <w:uiPriority w:val="0"/>
    <w:pPr>
      <w:autoSpaceDE w:val="0"/>
      <w:autoSpaceDN w:val="0"/>
      <w:adjustRightInd w:val="0"/>
      <w:spacing w:line="500" w:lineRule="exact"/>
      <w:ind w:firstLine="420"/>
    </w:pPr>
    <w:rPr>
      <w:rFonts w:ascii="宋体" w:hAnsi="宋体" w:cstheme="minorBidi"/>
      <w:sz w:val="28"/>
      <w:szCs w:val="21"/>
    </w:rPr>
  </w:style>
  <w:style w:type="paragraph" w:styleId="25">
    <w:name w:val="endnote text"/>
    <w:basedOn w:val="1"/>
    <w:link w:val="109"/>
    <w:qFormat/>
    <w:uiPriority w:val="0"/>
    <w:pPr>
      <w:snapToGrid w:val="0"/>
      <w:jc w:val="left"/>
    </w:pPr>
    <w:rPr>
      <w:rFonts w:asciiTheme="minorHAnsi" w:hAnsiTheme="minorHAnsi" w:eastAsiaTheme="minorEastAsia" w:cstheme="minorBidi"/>
    </w:rPr>
  </w:style>
  <w:style w:type="paragraph" w:styleId="26">
    <w:name w:val="Balloon Text"/>
    <w:basedOn w:val="1"/>
    <w:link w:val="119"/>
    <w:qFormat/>
    <w:uiPriority w:val="0"/>
    <w:rPr>
      <w:rFonts w:asciiTheme="minorHAnsi" w:hAnsiTheme="minorHAnsi" w:cstheme="minorBidi"/>
      <w:sz w:val="18"/>
      <w:szCs w:val="18"/>
    </w:rPr>
  </w:style>
  <w:style w:type="paragraph" w:styleId="27">
    <w:name w:val="footer"/>
    <w:basedOn w:val="1"/>
    <w:link w:val="57"/>
    <w:unhideWhenUsed/>
    <w:qFormat/>
    <w:uiPriority w:val="99"/>
    <w:pPr>
      <w:tabs>
        <w:tab w:val="center" w:pos="4153"/>
        <w:tab w:val="right" w:pos="8306"/>
      </w:tabs>
      <w:snapToGrid w:val="0"/>
      <w:jc w:val="left"/>
    </w:pPr>
    <w:rPr>
      <w:sz w:val="18"/>
      <w:szCs w:val="18"/>
    </w:rPr>
  </w:style>
  <w:style w:type="paragraph" w:styleId="28">
    <w:name w:val="header"/>
    <w:basedOn w:val="1"/>
    <w:link w:val="56"/>
    <w:unhideWhenUsed/>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0"/>
    <w:pPr>
      <w:tabs>
        <w:tab w:val="right" w:leader="dot" w:pos="8296"/>
      </w:tabs>
      <w:spacing w:before="156" w:beforeLines="50" w:line="360" w:lineRule="auto"/>
      <w:jc w:val="center"/>
    </w:pPr>
    <w:rPr>
      <w:rFonts w:ascii="楷体" w:hAnsi="楷体" w:eastAsia="楷体"/>
      <w:b/>
      <w:sz w:val="30"/>
      <w:szCs w:val="30"/>
    </w:rPr>
  </w:style>
  <w:style w:type="paragraph" w:styleId="30">
    <w:name w:val="List"/>
    <w:basedOn w:val="1"/>
    <w:qFormat/>
    <w:uiPriority w:val="0"/>
    <w:pPr>
      <w:ind w:left="200" w:hanging="200" w:hangingChars="200"/>
    </w:pPr>
  </w:style>
  <w:style w:type="paragraph" w:styleId="31">
    <w:name w:val="footnote text"/>
    <w:basedOn w:val="1"/>
    <w:link w:val="111"/>
    <w:qFormat/>
    <w:uiPriority w:val="0"/>
    <w:pPr>
      <w:snapToGrid w:val="0"/>
      <w:jc w:val="left"/>
    </w:pPr>
    <w:rPr>
      <w:rFonts w:asciiTheme="minorHAnsi" w:hAnsiTheme="minorHAnsi" w:eastAsiaTheme="minorEastAsia" w:cstheme="minorBidi"/>
      <w:sz w:val="18"/>
      <w:szCs w:val="18"/>
    </w:rPr>
  </w:style>
  <w:style w:type="paragraph" w:styleId="32">
    <w:name w:val="Body Text Indent 3"/>
    <w:basedOn w:val="1"/>
    <w:link w:val="148"/>
    <w:qFormat/>
    <w:uiPriority w:val="0"/>
    <w:pPr>
      <w:tabs>
        <w:tab w:val="left" w:pos="1080"/>
      </w:tabs>
      <w:autoSpaceDE w:val="0"/>
      <w:autoSpaceDN w:val="0"/>
      <w:adjustRightInd w:val="0"/>
      <w:spacing w:line="500" w:lineRule="exact"/>
      <w:ind w:firstLine="540"/>
    </w:pPr>
    <w:rPr>
      <w:rFonts w:ascii="宋体" w:hAnsi="宋体" w:cstheme="minorBidi"/>
      <w:sz w:val="28"/>
      <w:szCs w:val="21"/>
    </w:rPr>
  </w:style>
  <w:style w:type="paragraph" w:styleId="33">
    <w:name w:val="toc 2"/>
    <w:basedOn w:val="1"/>
    <w:next w:val="1"/>
    <w:qFormat/>
    <w:uiPriority w:val="0"/>
    <w:pPr>
      <w:tabs>
        <w:tab w:val="left" w:pos="1470"/>
        <w:tab w:val="right" w:leader="dot" w:pos="8296"/>
      </w:tabs>
      <w:spacing w:line="360" w:lineRule="auto"/>
      <w:jc w:val="center"/>
    </w:pPr>
    <w:rPr>
      <w:rFonts w:ascii="宋体" w:hAnsi="宋体"/>
      <w:sz w:val="30"/>
      <w:szCs w:val="30"/>
    </w:rPr>
  </w:style>
  <w:style w:type="paragraph" w:styleId="34">
    <w:name w:val="Body Text 2"/>
    <w:basedOn w:val="1"/>
    <w:link w:val="131"/>
    <w:qFormat/>
    <w:uiPriority w:val="0"/>
    <w:pPr>
      <w:spacing w:after="120" w:line="480" w:lineRule="auto"/>
    </w:pPr>
    <w:rPr>
      <w:rFonts w:asciiTheme="minorHAnsi" w:hAnsiTheme="minorHAnsi" w:cstheme="minorBidi"/>
    </w:rPr>
  </w:style>
  <w:style w:type="paragraph" w:styleId="35">
    <w:name w:val="HTML Preformatted"/>
    <w:basedOn w:val="1"/>
    <w:link w:val="127"/>
    <w:qFormat/>
    <w:uiPriority w:val="0"/>
    <w:rPr>
      <w:rFonts w:ascii="Courier New" w:hAnsi="Courier New" w:cs="Courier New"/>
      <w:szCs w:val="22"/>
    </w:rPr>
  </w:style>
  <w:style w:type="paragraph" w:styleId="36">
    <w:name w:val="Normal (Web)"/>
    <w:basedOn w:val="1"/>
    <w:qFormat/>
    <w:uiPriority w:val="0"/>
    <w:pPr>
      <w:widowControl/>
      <w:spacing w:before="100" w:beforeAutospacing="1" w:after="100" w:afterAutospacing="1"/>
      <w:jc w:val="left"/>
    </w:pPr>
    <w:rPr>
      <w:rFonts w:ascii="宋体" w:hAnsi="宋体"/>
      <w:kern w:val="0"/>
      <w:sz w:val="24"/>
    </w:rPr>
  </w:style>
  <w:style w:type="paragraph" w:styleId="37">
    <w:name w:val="index 1"/>
    <w:basedOn w:val="1"/>
    <w:next w:val="1"/>
    <w:qFormat/>
    <w:uiPriority w:val="0"/>
    <w:rPr>
      <w:szCs w:val="20"/>
    </w:rPr>
  </w:style>
  <w:style w:type="paragraph" w:styleId="38">
    <w:name w:val="Title"/>
    <w:basedOn w:val="1"/>
    <w:link w:val="104"/>
    <w:qFormat/>
    <w:uiPriority w:val="0"/>
    <w:pPr>
      <w:adjustRightInd w:val="0"/>
      <w:spacing w:before="240" w:after="60" w:line="420" w:lineRule="atLeast"/>
      <w:jc w:val="center"/>
      <w:textAlignment w:val="baseline"/>
      <w:outlineLvl w:val="0"/>
    </w:pPr>
    <w:rPr>
      <w:rFonts w:ascii="Arial" w:hAnsi="Arial" w:eastAsiaTheme="minorEastAsia" w:cstheme="minorBidi"/>
      <w:b/>
      <w:sz w:val="32"/>
      <w:szCs w:val="22"/>
    </w:rPr>
  </w:style>
  <w:style w:type="paragraph" w:styleId="39">
    <w:name w:val="Body Text First Indent 2"/>
    <w:basedOn w:val="18"/>
    <w:next w:val="1"/>
    <w:qFormat/>
    <w:uiPriority w:val="99"/>
    <w:pPr>
      <w:ind w:firstLine="420" w:firstLineChars="200"/>
    </w:pPr>
  </w:style>
  <w:style w:type="table" w:styleId="41">
    <w:name w:val="Table Grid"/>
    <w:basedOn w:val="40"/>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qFormat/>
    <w:uiPriority w:val="0"/>
    <w:rPr>
      <w:b/>
      <w:bCs/>
    </w:rPr>
  </w:style>
  <w:style w:type="character" w:styleId="44">
    <w:name w:val="endnote reference"/>
    <w:qFormat/>
    <w:uiPriority w:val="0"/>
    <w:rPr>
      <w:vertAlign w:val="superscript"/>
    </w:rPr>
  </w:style>
  <w:style w:type="character" w:styleId="45">
    <w:name w:val="page number"/>
    <w:basedOn w:val="42"/>
    <w:qFormat/>
    <w:uiPriority w:val="0"/>
  </w:style>
  <w:style w:type="character" w:styleId="46">
    <w:name w:val="FollowedHyperlink"/>
    <w:qFormat/>
    <w:uiPriority w:val="0"/>
    <w:rPr>
      <w:color w:val="333333"/>
      <w:u w:val="none"/>
    </w:rPr>
  </w:style>
  <w:style w:type="character" w:styleId="47">
    <w:name w:val="Emphasis"/>
    <w:qFormat/>
    <w:uiPriority w:val="0"/>
  </w:style>
  <w:style w:type="character" w:styleId="48">
    <w:name w:val="HTML Definition"/>
    <w:qFormat/>
    <w:uiPriority w:val="0"/>
  </w:style>
  <w:style w:type="character" w:styleId="49">
    <w:name w:val="HTML Acronym"/>
    <w:basedOn w:val="42"/>
    <w:qFormat/>
    <w:uiPriority w:val="0"/>
  </w:style>
  <w:style w:type="character" w:styleId="50">
    <w:name w:val="HTML Variable"/>
    <w:qFormat/>
    <w:uiPriority w:val="0"/>
  </w:style>
  <w:style w:type="character" w:styleId="51">
    <w:name w:val="Hyperlink"/>
    <w:qFormat/>
    <w:uiPriority w:val="0"/>
    <w:rPr>
      <w:color w:val="333333"/>
      <w:u w:val="none"/>
    </w:rPr>
  </w:style>
  <w:style w:type="character" w:styleId="52">
    <w:name w:val="HTML Code"/>
    <w:qFormat/>
    <w:uiPriority w:val="0"/>
    <w:rPr>
      <w:rFonts w:ascii="Courier New" w:hAnsi="Courier New"/>
      <w:sz w:val="20"/>
    </w:rPr>
  </w:style>
  <w:style w:type="character" w:styleId="53">
    <w:name w:val="annotation reference"/>
    <w:qFormat/>
    <w:uiPriority w:val="0"/>
    <w:rPr>
      <w:sz w:val="21"/>
      <w:szCs w:val="21"/>
    </w:rPr>
  </w:style>
  <w:style w:type="character" w:styleId="54">
    <w:name w:val="HTML Cite"/>
    <w:qFormat/>
    <w:uiPriority w:val="0"/>
  </w:style>
  <w:style w:type="character" w:styleId="55">
    <w:name w:val="footnote reference"/>
    <w:qFormat/>
    <w:uiPriority w:val="0"/>
    <w:rPr>
      <w:vertAlign w:val="superscript"/>
    </w:rPr>
  </w:style>
  <w:style w:type="character" w:customStyle="1" w:styleId="56">
    <w:name w:val="页眉 Char"/>
    <w:basedOn w:val="42"/>
    <w:link w:val="28"/>
    <w:qFormat/>
    <w:uiPriority w:val="0"/>
    <w:rPr>
      <w:sz w:val="18"/>
      <w:szCs w:val="18"/>
    </w:rPr>
  </w:style>
  <w:style w:type="character" w:customStyle="1" w:styleId="57">
    <w:name w:val="页脚 Char"/>
    <w:basedOn w:val="42"/>
    <w:link w:val="27"/>
    <w:qFormat/>
    <w:uiPriority w:val="99"/>
    <w:rPr>
      <w:sz w:val="18"/>
      <w:szCs w:val="18"/>
    </w:rPr>
  </w:style>
  <w:style w:type="character" w:customStyle="1" w:styleId="58">
    <w:name w:val="标题 1 Char1"/>
    <w:basedOn w:val="42"/>
    <w:link w:val="3"/>
    <w:qFormat/>
    <w:uiPriority w:val="0"/>
    <w:rPr>
      <w:rFonts w:ascii="Times New Roman" w:hAnsi="Times New Roman" w:eastAsia="宋体" w:cs="Times New Roman"/>
      <w:b/>
      <w:bCs/>
      <w:kern w:val="44"/>
      <w:sz w:val="44"/>
      <w:szCs w:val="44"/>
    </w:rPr>
  </w:style>
  <w:style w:type="character" w:customStyle="1" w:styleId="59">
    <w:name w:val="标题 2 Char"/>
    <w:basedOn w:val="42"/>
    <w:link w:val="4"/>
    <w:qFormat/>
    <w:uiPriority w:val="0"/>
    <w:rPr>
      <w:rFonts w:ascii="Arial" w:hAnsi="Arial" w:eastAsia="黑体" w:cs="Times New Roman"/>
      <w:b/>
      <w:bCs/>
      <w:sz w:val="32"/>
      <w:szCs w:val="32"/>
    </w:rPr>
  </w:style>
  <w:style w:type="character" w:customStyle="1" w:styleId="60">
    <w:name w:val="标题 3 Char"/>
    <w:basedOn w:val="42"/>
    <w:link w:val="5"/>
    <w:qFormat/>
    <w:uiPriority w:val="0"/>
    <w:rPr>
      <w:rFonts w:ascii="Times New Roman" w:hAnsi="Times New Roman" w:eastAsia="宋体" w:cs="Times New Roman"/>
      <w:b/>
      <w:bCs/>
      <w:sz w:val="32"/>
      <w:szCs w:val="32"/>
    </w:rPr>
  </w:style>
  <w:style w:type="character" w:customStyle="1" w:styleId="61">
    <w:name w:val="标题 4 Char"/>
    <w:basedOn w:val="42"/>
    <w:link w:val="6"/>
    <w:qFormat/>
    <w:uiPriority w:val="0"/>
    <w:rPr>
      <w:rFonts w:ascii="Arial" w:hAnsi="Arial" w:eastAsia="黑体" w:cs="Times New Roman"/>
      <w:b/>
      <w:bCs/>
      <w:sz w:val="28"/>
      <w:szCs w:val="28"/>
    </w:rPr>
  </w:style>
  <w:style w:type="character" w:customStyle="1" w:styleId="62">
    <w:name w:val="标题 5 Char"/>
    <w:basedOn w:val="42"/>
    <w:link w:val="7"/>
    <w:qFormat/>
    <w:uiPriority w:val="0"/>
    <w:rPr>
      <w:rFonts w:ascii="Times New Roman" w:hAnsi="Times New Roman" w:eastAsia="宋体" w:cs="Times New Roman"/>
      <w:sz w:val="28"/>
      <w:szCs w:val="24"/>
    </w:rPr>
  </w:style>
  <w:style w:type="character" w:customStyle="1" w:styleId="63">
    <w:name w:val="标题 6 Char"/>
    <w:basedOn w:val="42"/>
    <w:link w:val="8"/>
    <w:qFormat/>
    <w:uiPriority w:val="0"/>
    <w:rPr>
      <w:rFonts w:ascii="Arial" w:hAnsi="Arial" w:eastAsia="黑体" w:cs="Times New Roman"/>
      <w:b/>
      <w:bCs/>
      <w:kern w:val="0"/>
      <w:sz w:val="24"/>
      <w:szCs w:val="24"/>
    </w:rPr>
  </w:style>
  <w:style w:type="character" w:customStyle="1" w:styleId="64">
    <w:name w:val="标题 7 Char"/>
    <w:basedOn w:val="42"/>
    <w:link w:val="9"/>
    <w:qFormat/>
    <w:uiPriority w:val="0"/>
    <w:rPr>
      <w:rFonts w:ascii="Times New Roman" w:hAnsi="Times New Roman" w:eastAsia="宋体" w:cs="Times New Roman"/>
      <w:sz w:val="28"/>
      <w:szCs w:val="20"/>
    </w:rPr>
  </w:style>
  <w:style w:type="character" w:customStyle="1" w:styleId="65">
    <w:name w:val="标题 8 Char"/>
    <w:basedOn w:val="42"/>
    <w:link w:val="10"/>
    <w:qFormat/>
    <w:uiPriority w:val="0"/>
    <w:rPr>
      <w:rFonts w:ascii="Times New Roman" w:hAnsi="Times New Roman" w:eastAsia="宋体" w:cs="Times New Roman"/>
      <w:sz w:val="28"/>
      <w:szCs w:val="24"/>
    </w:rPr>
  </w:style>
  <w:style w:type="character" w:customStyle="1" w:styleId="66">
    <w:name w:val="标题 9 Char"/>
    <w:basedOn w:val="42"/>
    <w:link w:val="11"/>
    <w:qFormat/>
    <w:uiPriority w:val="0"/>
    <w:rPr>
      <w:rFonts w:ascii="Arial" w:hAnsi="Arial" w:eastAsia="黑体" w:cs="Times New Roman"/>
      <w:kern w:val="0"/>
      <w:szCs w:val="21"/>
    </w:rPr>
  </w:style>
  <w:style w:type="character" w:customStyle="1" w:styleId="67">
    <w:name w:val="手改 Char Char"/>
    <w:qFormat/>
    <w:uiPriority w:val="0"/>
    <w:rPr>
      <w:rFonts w:eastAsia="宋体"/>
      <w:kern w:val="2"/>
      <w:sz w:val="21"/>
      <w:szCs w:val="24"/>
      <w:lang w:val="en-US" w:eastAsia="zh-CN" w:bidi="ar-SA"/>
    </w:rPr>
  </w:style>
  <w:style w:type="character" w:customStyle="1" w:styleId="68">
    <w:name w:val="Body Text Indent Char1"/>
    <w:link w:val="69"/>
    <w:qFormat/>
    <w:uiPriority w:val="0"/>
  </w:style>
  <w:style w:type="paragraph" w:customStyle="1" w:styleId="69">
    <w:name w:val="正文文本缩进1"/>
    <w:basedOn w:val="1"/>
    <w:link w:val="68"/>
    <w:qFormat/>
    <w:uiPriority w:val="0"/>
    <w:pPr>
      <w:spacing w:after="120"/>
      <w:ind w:left="420" w:leftChars="200"/>
    </w:pPr>
    <w:rPr>
      <w:rFonts w:asciiTheme="minorHAnsi" w:hAnsiTheme="minorHAnsi" w:eastAsiaTheme="minorEastAsia" w:cstheme="minorBidi"/>
      <w:szCs w:val="22"/>
    </w:rPr>
  </w:style>
  <w:style w:type="character" w:customStyle="1" w:styleId="70">
    <w:name w:val="bds_nopic1"/>
    <w:basedOn w:val="42"/>
    <w:qFormat/>
    <w:uiPriority w:val="0"/>
  </w:style>
  <w:style w:type="character" w:customStyle="1" w:styleId="71">
    <w:name w:val="Char Char7"/>
    <w:qFormat/>
    <w:uiPriority w:val="0"/>
    <w:rPr>
      <w:rFonts w:eastAsia="宋体"/>
      <w:kern w:val="2"/>
      <w:sz w:val="18"/>
      <w:szCs w:val="18"/>
      <w:lang w:val="en-US" w:eastAsia="zh-CN" w:bidi="ar-SA"/>
    </w:rPr>
  </w:style>
  <w:style w:type="character" w:customStyle="1" w:styleId="72">
    <w:name w:val="newstime"/>
    <w:qFormat/>
    <w:uiPriority w:val="0"/>
    <w:rPr>
      <w:rFonts w:ascii="微软雅黑" w:hAnsi="微软雅黑" w:eastAsia="微软雅黑" w:cs="微软雅黑"/>
      <w:color w:val="434343"/>
    </w:rPr>
  </w:style>
  <w:style w:type="character" w:customStyle="1" w:styleId="73">
    <w:name w:val="bds_nopic2"/>
    <w:basedOn w:val="42"/>
    <w:qFormat/>
    <w:uiPriority w:val="0"/>
  </w:style>
  <w:style w:type="character" w:customStyle="1" w:styleId="74">
    <w:name w:val="Char Char11"/>
    <w:qFormat/>
    <w:uiPriority w:val="0"/>
    <w:rPr>
      <w:rFonts w:ascii="宋体" w:hAnsi="Courier New" w:eastAsia="宋体" w:cs="黑体"/>
      <w:sz w:val="21"/>
      <w:szCs w:val="21"/>
      <w:lang w:val="en-US" w:eastAsia="zh-CN" w:bidi="ar-SA"/>
    </w:rPr>
  </w:style>
  <w:style w:type="character" w:customStyle="1" w:styleId="75">
    <w:name w:val="Char Char2"/>
    <w:qFormat/>
    <w:uiPriority w:val="0"/>
    <w:rPr>
      <w:rFonts w:ascii="宋体" w:hAnsi="宋体" w:eastAsia="宋体"/>
      <w:kern w:val="2"/>
      <w:sz w:val="28"/>
      <w:szCs w:val="21"/>
      <w:lang w:val="en-US" w:eastAsia="zh-CN" w:bidi="ar-SA"/>
    </w:rPr>
  </w:style>
  <w:style w:type="character" w:customStyle="1" w:styleId="76">
    <w:name w:val="批注主题 Char"/>
    <w:link w:val="19"/>
    <w:qFormat/>
    <w:uiPriority w:val="0"/>
    <w:rPr>
      <w:rFonts w:eastAsia="宋体"/>
      <w:b/>
      <w:bCs/>
      <w:szCs w:val="24"/>
    </w:rPr>
  </w:style>
  <w:style w:type="character" w:customStyle="1" w:styleId="77">
    <w:name w:val="Char Char"/>
    <w:qFormat/>
    <w:uiPriority w:val="0"/>
    <w:rPr>
      <w:rFonts w:ascii="Arial" w:hAnsi="Arial"/>
      <w:b/>
      <w:sz w:val="32"/>
    </w:rPr>
  </w:style>
  <w:style w:type="character" w:customStyle="1" w:styleId="78">
    <w:name w:val="正文文字4 Char Char"/>
    <w:qFormat/>
    <w:uiPriority w:val="0"/>
    <w:rPr>
      <w:rFonts w:eastAsia="宋体"/>
      <w:kern w:val="2"/>
      <w:sz w:val="21"/>
      <w:szCs w:val="24"/>
      <w:lang w:val="en-US" w:eastAsia="zh-CN" w:bidi="ar-SA"/>
    </w:rPr>
  </w:style>
  <w:style w:type="character" w:customStyle="1" w:styleId="79">
    <w:name w:val="bds_more2"/>
    <w:basedOn w:val="42"/>
    <w:qFormat/>
    <w:uiPriority w:val="0"/>
  </w:style>
  <w:style w:type="character" w:customStyle="1" w:styleId="80">
    <w:name w:val="mod-title ml-5"/>
    <w:qFormat/>
    <w:uiPriority w:val="0"/>
    <w:rPr>
      <w:rFonts w:cs="Times New Roman"/>
    </w:rPr>
  </w:style>
  <w:style w:type="character" w:customStyle="1" w:styleId="81">
    <w:name w:val="Char Char6"/>
    <w:qFormat/>
    <w:locked/>
    <w:uiPriority w:val="0"/>
    <w:rPr>
      <w:rFonts w:eastAsia="宋体"/>
      <w:kern w:val="2"/>
      <w:sz w:val="18"/>
      <w:lang w:val="en-US" w:eastAsia="zh-CN"/>
    </w:rPr>
  </w:style>
  <w:style w:type="character" w:customStyle="1" w:styleId="82">
    <w:name w:val="文档结构图 Char"/>
    <w:link w:val="14"/>
    <w:qFormat/>
    <w:uiPriority w:val="0"/>
    <w:rPr>
      <w:rFonts w:eastAsia="宋体"/>
      <w:szCs w:val="24"/>
      <w:shd w:val="clear" w:color="auto" w:fill="000080"/>
    </w:rPr>
  </w:style>
  <w:style w:type="character" w:customStyle="1" w:styleId="83">
    <w:name w:val="Body Text 2 Char1"/>
    <w:link w:val="84"/>
    <w:qFormat/>
    <w:uiPriority w:val="0"/>
  </w:style>
  <w:style w:type="paragraph" w:customStyle="1" w:styleId="84">
    <w:name w:val="正文文本 21"/>
    <w:basedOn w:val="1"/>
    <w:link w:val="83"/>
    <w:qFormat/>
    <w:uiPriority w:val="0"/>
    <w:pPr>
      <w:spacing w:after="120" w:line="480" w:lineRule="auto"/>
    </w:pPr>
    <w:rPr>
      <w:rFonts w:asciiTheme="minorHAnsi" w:hAnsiTheme="minorHAnsi" w:eastAsiaTheme="minorEastAsia" w:cstheme="minorBidi"/>
      <w:szCs w:val="22"/>
    </w:rPr>
  </w:style>
  <w:style w:type="character" w:customStyle="1" w:styleId="85">
    <w:name w:val="Char Char10"/>
    <w:qFormat/>
    <w:uiPriority w:val="0"/>
    <w:rPr>
      <w:kern w:val="2"/>
      <w:sz w:val="21"/>
      <w:szCs w:val="24"/>
    </w:rPr>
  </w:style>
  <w:style w:type="character" w:customStyle="1" w:styleId="86">
    <w:name w:val="Body Text Indent 2 Char1"/>
    <w:link w:val="87"/>
    <w:qFormat/>
    <w:uiPriority w:val="0"/>
  </w:style>
  <w:style w:type="paragraph" w:customStyle="1" w:styleId="87">
    <w:name w:val="正文文本缩进 21"/>
    <w:basedOn w:val="1"/>
    <w:link w:val="86"/>
    <w:qFormat/>
    <w:uiPriority w:val="0"/>
    <w:pPr>
      <w:autoSpaceDE w:val="0"/>
      <w:autoSpaceDN w:val="0"/>
      <w:adjustRightInd w:val="0"/>
      <w:spacing w:line="500" w:lineRule="exact"/>
      <w:ind w:firstLine="420"/>
    </w:pPr>
    <w:rPr>
      <w:rFonts w:asciiTheme="minorHAnsi" w:hAnsiTheme="minorHAnsi" w:eastAsiaTheme="minorEastAsia" w:cstheme="minorBidi"/>
      <w:szCs w:val="22"/>
    </w:rPr>
  </w:style>
  <w:style w:type="character" w:customStyle="1" w:styleId="88">
    <w:name w:val="日期 Char"/>
    <w:link w:val="23"/>
    <w:qFormat/>
    <w:uiPriority w:val="0"/>
    <w:rPr>
      <w:rFonts w:ascii="宋体" w:hAnsi="宋体" w:eastAsia="仿宋_GB2312"/>
      <w:bCs/>
      <w:sz w:val="24"/>
      <w:szCs w:val="24"/>
    </w:rPr>
  </w:style>
  <w:style w:type="character" w:customStyle="1" w:styleId="89">
    <w:name w:val="Plain Text Char1"/>
    <w:link w:val="90"/>
    <w:qFormat/>
    <w:uiPriority w:val="0"/>
    <w:rPr>
      <w:rFonts w:ascii="宋体" w:hAnsi="Courier New"/>
      <w:szCs w:val="21"/>
    </w:rPr>
  </w:style>
  <w:style w:type="paragraph" w:customStyle="1" w:styleId="90">
    <w:name w:val="纯文本2"/>
    <w:basedOn w:val="1"/>
    <w:link w:val="89"/>
    <w:qFormat/>
    <w:uiPriority w:val="0"/>
    <w:rPr>
      <w:rFonts w:ascii="宋体" w:hAnsi="Courier New" w:eastAsiaTheme="minorEastAsia" w:cstheme="minorBidi"/>
      <w:szCs w:val="21"/>
    </w:rPr>
  </w:style>
  <w:style w:type="character" w:customStyle="1" w:styleId="91">
    <w:name w:val="Char Char23"/>
    <w:qFormat/>
    <w:uiPriority w:val="0"/>
    <w:rPr>
      <w:rFonts w:ascii="Arial" w:hAnsi="Arial" w:eastAsia="黑体"/>
      <w:b/>
      <w:bCs/>
      <w:kern w:val="2"/>
      <w:sz w:val="28"/>
      <w:szCs w:val="28"/>
      <w:lang w:val="en-US" w:eastAsia="zh-CN" w:bidi="ar-SA"/>
    </w:rPr>
  </w:style>
  <w:style w:type="character" w:customStyle="1" w:styleId="92">
    <w:name w:val="正文文本缩进 2 Char"/>
    <w:link w:val="24"/>
    <w:qFormat/>
    <w:uiPriority w:val="0"/>
    <w:rPr>
      <w:rFonts w:ascii="宋体" w:hAnsi="宋体" w:eastAsia="宋体"/>
      <w:sz w:val="28"/>
      <w:szCs w:val="21"/>
    </w:rPr>
  </w:style>
  <w:style w:type="character" w:customStyle="1" w:styleId="93">
    <w:name w:val="批注主题 Char1"/>
    <w:qFormat/>
    <w:uiPriority w:val="0"/>
    <w:rPr>
      <w:rFonts w:ascii="Times New Roman" w:hAnsi="Times New Roman" w:eastAsia="宋体"/>
      <w:b/>
      <w:sz w:val="20"/>
    </w:rPr>
  </w:style>
  <w:style w:type="character" w:customStyle="1" w:styleId="94">
    <w:name w:val="已访问的超链接 Char"/>
    <w:qFormat/>
    <w:uiPriority w:val="0"/>
    <w:rPr>
      <w:color w:val="800080"/>
      <w:u w:val="single"/>
    </w:rPr>
  </w:style>
  <w:style w:type="character" w:customStyle="1" w:styleId="95">
    <w:name w:val="正文文本 3 Char2"/>
    <w:qFormat/>
    <w:uiPriority w:val="0"/>
    <w:rPr>
      <w:rFonts w:ascii="Times New Roman" w:hAnsi="Times New Roman" w:eastAsia="宋体" w:cs="Times New Roman"/>
      <w:sz w:val="16"/>
      <w:szCs w:val="16"/>
    </w:rPr>
  </w:style>
  <w:style w:type="character" w:customStyle="1" w:styleId="96">
    <w:name w:val="标题 Char1"/>
    <w:qFormat/>
    <w:uiPriority w:val="0"/>
    <w:rPr>
      <w:rFonts w:ascii="Arial" w:hAnsi="Arial"/>
      <w:b/>
      <w:sz w:val="32"/>
    </w:rPr>
  </w:style>
  <w:style w:type="character" w:customStyle="1" w:styleId="97">
    <w:name w:val="Document Map Char1"/>
    <w:link w:val="98"/>
    <w:qFormat/>
    <w:uiPriority w:val="0"/>
    <w:rPr>
      <w:sz w:val="2"/>
      <w:shd w:val="clear" w:color="auto" w:fill="000080"/>
    </w:rPr>
  </w:style>
  <w:style w:type="paragraph" w:customStyle="1" w:styleId="98">
    <w:name w:val="文档结构图1"/>
    <w:basedOn w:val="1"/>
    <w:link w:val="97"/>
    <w:qFormat/>
    <w:uiPriority w:val="0"/>
    <w:pPr>
      <w:shd w:val="clear" w:color="auto" w:fill="000080"/>
    </w:pPr>
    <w:rPr>
      <w:rFonts w:asciiTheme="minorHAnsi" w:hAnsiTheme="minorHAnsi" w:eastAsiaTheme="minorEastAsia" w:cstheme="minorBidi"/>
      <w:sz w:val="2"/>
      <w:szCs w:val="22"/>
    </w:rPr>
  </w:style>
  <w:style w:type="character" w:customStyle="1" w:styleId="99">
    <w:name w:val="Char Char17"/>
    <w:qFormat/>
    <w:uiPriority w:val="0"/>
    <w:rPr>
      <w:rFonts w:eastAsia="宋体"/>
      <w:kern w:val="2"/>
      <w:sz w:val="21"/>
      <w:lang w:val="en-US" w:eastAsia="zh-CN" w:bidi="ar-SA"/>
    </w:rPr>
  </w:style>
  <w:style w:type="character" w:customStyle="1" w:styleId="100">
    <w:name w:val="Char Char14"/>
    <w:qFormat/>
    <w:uiPriority w:val="0"/>
    <w:rPr>
      <w:rFonts w:ascii="宋体" w:eastAsia="宋体"/>
      <w:kern w:val="2"/>
      <w:sz w:val="24"/>
      <w:lang w:val="en-US" w:eastAsia="zh-CN" w:bidi="ar-SA"/>
    </w:rPr>
  </w:style>
  <w:style w:type="character" w:customStyle="1" w:styleId="101">
    <w:name w:val="Char Char8"/>
    <w:qFormat/>
    <w:uiPriority w:val="0"/>
    <w:rPr>
      <w:rFonts w:ascii="宋体" w:hAnsi="宋体" w:eastAsia="宋体"/>
      <w:kern w:val="2"/>
      <w:sz w:val="28"/>
      <w:szCs w:val="21"/>
      <w:lang w:val="en-US" w:eastAsia="zh-CN" w:bidi="ar-SA"/>
    </w:rPr>
  </w:style>
  <w:style w:type="character" w:customStyle="1" w:styleId="102">
    <w:name w:val="Char Char9"/>
    <w:qFormat/>
    <w:uiPriority w:val="0"/>
    <w:rPr>
      <w:rFonts w:ascii="宋体" w:hAnsi="宋体" w:eastAsia="仿宋_GB2312"/>
      <w:bCs/>
      <w:kern w:val="2"/>
      <w:sz w:val="24"/>
      <w:szCs w:val="24"/>
      <w:lang w:val="en-US" w:eastAsia="zh-CN" w:bidi="ar-SA"/>
    </w:rPr>
  </w:style>
  <w:style w:type="character" w:customStyle="1" w:styleId="103">
    <w:name w:val="black1"/>
    <w:qFormat/>
    <w:uiPriority w:val="0"/>
    <w:rPr>
      <w:color w:val="000000"/>
      <w:sz w:val="24"/>
      <w:szCs w:val="24"/>
      <w:u w:val="none"/>
    </w:rPr>
  </w:style>
  <w:style w:type="character" w:customStyle="1" w:styleId="104">
    <w:name w:val="标题 Char"/>
    <w:link w:val="38"/>
    <w:qFormat/>
    <w:uiPriority w:val="0"/>
    <w:rPr>
      <w:rFonts w:ascii="Arial" w:hAnsi="Arial"/>
      <w:b/>
      <w:sz w:val="32"/>
    </w:rPr>
  </w:style>
  <w:style w:type="character" w:customStyle="1" w:styleId="105">
    <w:name w:val="纯文本 Char1"/>
    <w:qFormat/>
    <w:uiPriority w:val="0"/>
    <w:rPr>
      <w:rFonts w:ascii="宋体" w:hAnsi="Courier New"/>
    </w:rPr>
  </w:style>
  <w:style w:type="character" w:customStyle="1" w:styleId="106">
    <w:name w:val="Date Char1"/>
    <w:link w:val="107"/>
    <w:qFormat/>
    <w:uiPriority w:val="0"/>
  </w:style>
  <w:style w:type="paragraph" w:customStyle="1" w:styleId="107">
    <w:name w:val="日期1"/>
    <w:basedOn w:val="1"/>
    <w:next w:val="1"/>
    <w:link w:val="106"/>
    <w:qFormat/>
    <w:uiPriority w:val="0"/>
    <w:pPr>
      <w:ind w:left="100" w:leftChars="2500"/>
    </w:pPr>
    <w:rPr>
      <w:rFonts w:asciiTheme="minorHAnsi" w:hAnsiTheme="minorHAnsi" w:eastAsiaTheme="minorEastAsia" w:cstheme="minorBidi"/>
      <w:szCs w:val="22"/>
    </w:rPr>
  </w:style>
  <w:style w:type="character" w:customStyle="1" w:styleId="108">
    <w:name w:val="Char Char5"/>
    <w:qFormat/>
    <w:uiPriority w:val="0"/>
    <w:rPr>
      <w:rFonts w:eastAsia="宋体"/>
      <w:kern w:val="2"/>
      <w:sz w:val="18"/>
      <w:szCs w:val="18"/>
      <w:lang w:val="en-US" w:eastAsia="zh-CN" w:bidi="ar-SA"/>
    </w:rPr>
  </w:style>
  <w:style w:type="character" w:customStyle="1" w:styleId="109">
    <w:name w:val="尾注文本 Char"/>
    <w:link w:val="25"/>
    <w:qFormat/>
    <w:uiPriority w:val="0"/>
    <w:rPr>
      <w:szCs w:val="24"/>
    </w:rPr>
  </w:style>
  <w:style w:type="character" w:customStyle="1" w:styleId="110">
    <w:name w:val="Char Char19"/>
    <w:qFormat/>
    <w:uiPriority w:val="0"/>
    <w:rPr>
      <w:kern w:val="2"/>
      <w:sz w:val="28"/>
      <w:szCs w:val="24"/>
    </w:rPr>
  </w:style>
  <w:style w:type="character" w:customStyle="1" w:styleId="111">
    <w:name w:val="脚注文本 Char"/>
    <w:link w:val="31"/>
    <w:qFormat/>
    <w:uiPriority w:val="0"/>
    <w:rPr>
      <w:sz w:val="18"/>
      <w:szCs w:val="18"/>
    </w:rPr>
  </w:style>
  <w:style w:type="character" w:customStyle="1" w:styleId="112">
    <w:name w:val="Body Text Indent 3 Char1"/>
    <w:link w:val="113"/>
    <w:qFormat/>
    <w:uiPriority w:val="0"/>
    <w:rPr>
      <w:sz w:val="16"/>
      <w:szCs w:val="16"/>
    </w:rPr>
  </w:style>
  <w:style w:type="paragraph" w:customStyle="1" w:styleId="113">
    <w:name w:val="正文文本缩进 31"/>
    <w:basedOn w:val="1"/>
    <w:link w:val="112"/>
    <w:qFormat/>
    <w:uiPriority w:val="0"/>
    <w:pPr>
      <w:tabs>
        <w:tab w:val="left" w:pos="1080"/>
      </w:tabs>
      <w:autoSpaceDE w:val="0"/>
      <w:autoSpaceDN w:val="0"/>
      <w:adjustRightInd w:val="0"/>
      <w:spacing w:line="500" w:lineRule="exact"/>
      <w:ind w:firstLine="540"/>
    </w:pPr>
    <w:rPr>
      <w:rFonts w:asciiTheme="minorHAnsi" w:hAnsiTheme="minorHAnsi" w:eastAsiaTheme="minorEastAsia" w:cstheme="minorBidi"/>
      <w:sz w:val="16"/>
      <w:szCs w:val="16"/>
    </w:rPr>
  </w:style>
  <w:style w:type="character" w:customStyle="1" w:styleId="114">
    <w:name w:val="正文文本缩进 Char"/>
    <w:link w:val="18"/>
    <w:qFormat/>
    <w:uiPriority w:val="0"/>
    <w:rPr>
      <w:rFonts w:ascii="宋体" w:hAnsi="宋体" w:eastAsia="宋体"/>
      <w:sz w:val="28"/>
      <w:szCs w:val="21"/>
    </w:rPr>
  </w:style>
  <w:style w:type="character" w:customStyle="1" w:styleId="115">
    <w:name w:val="正文缩进两字符 Char Char"/>
    <w:qFormat/>
    <w:uiPriority w:val="0"/>
    <w:rPr>
      <w:rFonts w:ascii="宋体" w:hAnsi="Courier New" w:eastAsia="宋体" w:cs="黑体"/>
      <w:sz w:val="21"/>
      <w:szCs w:val="21"/>
      <w:lang w:val="en-US" w:eastAsia="zh-CN" w:bidi="ar-SA"/>
    </w:rPr>
  </w:style>
  <w:style w:type="character" w:customStyle="1" w:styleId="116">
    <w:name w:val="批注文字 Char"/>
    <w:link w:val="15"/>
    <w:semiHidden/>
    <w:qFormat/>
    <w:uiPriority w:val="0"/>
    <w:rPr>
      <w:rFonts w:eastAsia="宋体"/>
      <w:szCs w:val="24"/>
    </w:rPr>
  </w:style>
  <w:style w:type="character" w:customStyle="1" w:styleId="117">
    <w:name w:val="Char Char20"/>
    <w:qFormat/>
    <w:uiPriority w:val="0"/>
    <w:rPr>
      <w:kern w:val="2"/>
      <w:sz w:val="28"/>
    </w:rPr>
  </w:style>
  <w:style w:type="character" w:customStyle="1" w:styleId="118">
    <w:name w:val="Char Char18"/>
    <w:qFormat/>
    <w:uiPriority w:val="0"/>
    <w:rPr>
      <w:rFonts w:ascii="Arial" w:hAnsi="Arial" w:eastAsia="黑体"/>
      <w:sz w:val="21"/>
      <w:szCs w:val="21"/>
    </w:rPr>
  </w:style>
  <w:style w:type="character" w:customStyle="1" w:styleId="119">
    <w:name w:val="批注框文本 Char"/>
    <w:link w:val="26"/>
    <w:qFormat/>
    <w:uiPriority w:val="0"/>
    <w:rPr>
      <w:rFonts w:eastAsia="宋体"/>
      <w:sz w:val="18"/>
      <w:szCs w:val="18"/>
    </w:rPr>
  </w:style>
  <w:style w:type="character" w:customStyle="1" w:styleId="120">
    <w:name w:val="newstime1"/>
    <w:qFormat/>
    <w:uiPriority w:val="0"/>
    <w:rPr>
      <w:color w:val="FFFFFF"/>
    </w:rPr>
  </w:style>
  <w:style w:type="character" w:customStyle="1" w:styleId="121">
    <w:name w:val="16"/>
    <w:qFormat/>
    <w:uiPriority w:val="0"/>
    <w:rPr>
      <w:rFonts w:hint="default" w:ascii="Times New Roman" w:hAnsi="Times New Roman" w:cs="Times New Roman"/>
      <w:kern w:val="0"/>
      <w:sz w:val="21"/>
      <w:szCs w:val="21"/>
      <w:lang w:eastAsia="en-US"/>
    </w:rPr>
  </w:style>
  <w:style w:type="character" w:customStyle="1" w:styleId="122">
    <w:name w:val="批注框文本 Char2"/>
    <w:qFormat/>
    <w:uiPriority w:val="0"/>
    <w:rPr>
      <w:rFonts w:ascii="Times New Roman" w:hAnsi="Times New Roman" w:eastAsia="宋体"/>
      <w:sz w:val="18"/>
    </w:rPr>
  </w:style>
  <w:style w:type="character" w:customStyle="1" w:styleId="123">
    <w:name w:val="Char Char25"/>
    <w:qFormat/>
    <w:uiPriority w:val="0"/>
    <w:rPr>
      <w:rFonts w:ascii="Arial" w:hAnsi="Arial" w:eastAsia="黑体"/>
      <w:b/>
      <w:bCs/>
      <w:kern w:val="2"/>
      <w:sz w:val="32"/>
      <w:szCs w:val="32"/>
      <w:lang w:val="en-US" w:eastAsia="zh-CN" w:bidi="ar-SA"/>
    </w:rPr>
  </w:style>
  <w:style w:type="character" w:customStyle="1" w:styleId="124">
    <w:name w:val="Char Char13"/>
    <w:qFormat/>
    <w:uiPriority w:val="0"/>
    <w:rPr>
      <w:rFonts w:ascii="宋体" w:hAnsi="宋体" w:eastAsia="宋体"/>
      <w:kern w:val="2"/>
      <w:sz w:val="28"/>
      <w:szCs w:val="21"/>
      <w:lang w:val="en-US" w:eastAsia="zh-CN" w:bidi="ar-SA"/>
    </w:rPr>
  </w:style>
  <w:style w:type="character" w:customStyle="1" w:styleId="125">
    <w:name w:val="表格 Char1"/>
    <w:link w:val="126"/>
    <w:qFormat/>
    <w:uiPriority w:val="0"/>
    <w:rPr>
      <w:rFonts w:ascii="宋体" w:hAnsi="宋体"/>
      <w:bCs/>
    </w:rPr>
  </w:style>
  <w:style w:type="paragraph" w:customStyle="1" w:styleId="126">
    <w:name w:val="表格"/>
    <w:basedOn w:val="1"/>
    <w:link w:val="125"/>
    <w:qFormat/>
    <w:uiPriority w:val="0"/>
    <w:pPr>
      <w:jc w:val="center"/>
      <w:outlineLvl w:val="5"/>
    </w:pPr>
    <w:rPr>
      <w:rFonts w:ascii="宋体" w:hAnsi="宋体" w:eastAsiaTheme="minorEastAsia" w:cstheme="minorBidi"/>
      <w:bCs/>
      <w:szCs w:val="22"/>
    </w:rPr>
  </w:style>
  <w:style w:type="character" w:customStyle="1" w:styleId="127">
    <w:name w:val="HTML 预设格式 Char"/>
    <w:link w:val="35"/>
    <w:qFormat/>
    <w:uiPriority w:val="0"/>
    <w:rPr>
      <w:rFonts w:ascii="Courier New" w:hAnsi="Courier New" w:eastAsia="宋体" w:cs="Courier New"/>
    </w:rPr>
  </w:style>
  <w:style w:type="character" w:customStyle="1" w:styleId="128">
    <w:name w:val="Char Char16"/>
    <w:qFormat/>
    <w:uiPriority w:val="0"/>
    <w:rPr>
      <w:rFonts w:eastAsia="宋体"/>
      <w:b/>
      <w:bCs/>
      <w:kern w:val="2"/>
      <w:sz w:val="21"/>
      <w:szCs w:val="24"/>
      <w:lang w:val="en-US" w:eastAsia="zh-CN" w:bidi="ar-SA"/>
    </w:rPr>
  </w:style>
  <w:style w:type="character" w:customStyle="1" w:styleId="129">
    <w:name w:val="text031"/>
    <w:qFormat/>
    <w:uiPriority w:val="0"/>
    <w:rPr>
      <w:color w:val="000000"/>
      <w:spacing w:val="8"/>
      <w:sz w:val="20"/>
      <w:szCs w:val="20"/>
      <w:u w:val="none"/>
    </w:rPr>
  </w:style>
  <w:style w:type="character" w:customStyle="1" w:styleId="130">
    <w:name w:val="bds_nopic"/>
    <w:basedOn w:val="42"/>
    <w:qFormat/>
    <w:uiPriority w:val="0"/>
  </w:style>
  <w:style w:type="character" w:customStyle="1" w:styleId="131">
    <w:name w:val="正文文本 2 Char"/>
    <w:link w:val="34"/>
    <w:qFormat/>
    <w:uiPriority w:val="0"/>
    <w:rPr>
      <w:rFonts w:eastAsia="宋体"/>
      <w:szCs w:val="24"/>
    </w:rPr>
  </w:style>
  <w:style w:type="character" w:customStyle="1" w:styleId="132">
    <w:name w:val="jtyw_more"/>
    <w:basedOn w:val="42"/>
    <w:qFormat/>
    <w:uiPriority w:val="0"/>
  </w:style>
  <w:style w:type="character" w:customStyle="1" w:styleId="133">
    <w:name w:val="Char Char Char Char Char Char"/>
    <w:qFormat/>
    <w:uiPriority w:val="0"/>
    <w:rPr>
      <w:rFonts w:eastAsia="宋体"/>
      <w:kern w:val="2"/>
      <w:sz w:val="21"/>
      <w:szCs w:val="24"/>
      <w:lang w:val="en-US" w:eastAsia="zh-CN" w:bidi="ar-SA"/>
    </w:rPr>
  </w:style>
  <w:style w:type="character" w:customStyle="1" w:styleId="134">
    <w:name w:val="hover76"/>
    <w:qFormat/>
    <w:uiPriority w:val="0"/>
    <w:rPr>
      <w:color w:val="FFFFFF"/>
      <w:shd w:val="clear" w:color="auto" w:fill="59C3F7"/>
    </w:rPr>
  </w:style>
  <w:style w:type="character" w:customStyle="1" w:styleId="135">
    <w:name w:val="Comment Subject Char1"/>
    <w:link w:val="136"/>
    <w:qFormat/>
    <w:uiPriority w:val="0"/>
    <w:rPr>
      <w:b/>
      <w:bCs/>
    </w:rPr>
  </w:style>
  <w:style w:type="paragraph" w:customStyle="1" w:styleId="136">
    <w:name w:val="批注主题1"/>
    <w:basedOn w:val="15"/>
    <w:next w:val="15"/>
    <w:link w:val="135"/>
    <w:qFormat/>
    <w:uiPriority w:val="0"/>
    <w:rPr>
      <w:rFonts w:eastAsiaTheme="minorEastAsia"/>
      <w:b/>
      <w:bCs/>
      <w:szCs w:val="22"/>
    </w:rPr>
  </w:style>
  <w:style w:type="character" w:customStyle="1" w:styleId="137">
    <w:name w:val="Char Char3"/>
    <w:qFormat/>
    <w:uiPriority w:val="0"/>
    <w:rPr>
      <w:rFonts w:eastAsia="宋体"/>
      <w:kern w:val="2"/>
      <w:sz w:val="18"/>
      <w:szCs w:val="18"/>
      <w:lang w:val="en-US" w:eastAsia="zh-CN" w:bidi="ar-SA"/>
    </w:rPr>
  </w:style>
  <w:style w:type="character" w:customStyle="1" w:styleId="138">
    <w:name w:val="Char Char24"/>
    <w:qFormat/>
    <w:locked/>
    <w:uiPriority w:val="0"/>
    <w:rPr>
      <w:rFonts w:eastAsia="宋体"/>
      <w:kern w:val="2"/>
      <w:sz w:val="18"/>
      <w:lang w:val="en-US" w:eastAsia="zh-CN"/>
    </w:rPr>
  </w:style>
  <w:style w:type="character" w:customStyle="1" w:styleId="139">
    <w:name w:val="批注框文本 Char1"/>
    <w:qFormat/>
    <w:uiPriority w:val="0"/>
    <w:rPr>
      <w:rFonts w:hint="default" w:ascii="Times New Roman" w:hAnsi="Times New Roman" w:eastAsia="宋体" w:cs="Times New Roman"/>
      <w:sz w:val="18"/>
    </w:rPr>
  </w:style>
  <w:style w:type="character" w:customStyle="1" w:styleId="140">
    <w:name w:val="Char Char12"/>
    <w:qFormat/>
    <w:uiPriority w:val="0"/>
    <w:rPr>
      <w:rFonts w:eastAsia="宋体"/>
      <w:kern w:val="2"/>
      <w:sz w:val="21"/>
      <w:szCs w:val="24"/>
      <w:lang w:val="en-US" w:eastAsia="zh-CN" w:bidi="ar-SA"/>
    </w:rPr>
  </w:style>
  <w:style w:type="character" w:customStyle="1" w:styleId="141">
    <w:name w:val="标题 3 Char Char"/>
    <w:qFormat/>
    <w:uiPriority w:val="0"/>
    <w:rPr>
      <w:rFonts w:eastAsia="黑体"/>
      <w:b/>
      <w:kern w:val="2"/>
      <w:sz w:val="28"/>
      <w:lang w:val="en-US" w:eastAsia="zh-CN" w:bidi="ar-SA"/>
    </w:rPr>
  </w:style>
  <w:style w:type="character" w:customStyle="1" w:styleId="142">
    <w:name w:val="Body Text 3 Char1"/>
    <w:link w:val="143"/>
    <w:qFormat/>
    <w:uiPriority w:val="0"/>
    <w:rPr>
      <w:sz w:val="16"/>
      <w:szCs w:val="16"/>
    </w:rPr>
  </w:style>
  <w:style w:type="paragraph" w:customStyle="1" w:styleId="143">
    <w:name w:val="正文文本 31"/>
    <w:basedOn w:val="1"/>
    <w:link w:val="142"/>
    <w:qFormat/>
    <w:uiPriority w:val="0"/>
    <w:rPr>
      <w:rFonts w:asciiTheme="minorHAnsi" w:hAnsiTheme="minorHAnsi" w:eastAsiaTheme="minorEastAsia" w:cstheme="minorBidi"/>
      <w:sz w:val="16"/>
      <w:szCs w:val="16"/>
    </w:rPr>
  </w:style>
  <w:style w:type="character" w:customStyle="1" w:styleId="144">
    <w:name w:val="纯文本 Char"/>
    <w:link w:val="22"/>
    <w:qFormat/>
    <w:uiPriority w:val="0"/>
    <w:rPr>
      <w:rFonts w:ascii="宋体" w:hAnsi="Courier New" w:eastAsia="宋体" w:cs="黑体"/>
      <w:szCs w:val="21"/>
    </w:rPr>
  </w:style>
  <w:style w:type="character" w:customStyle="1" w:styleId="145">
    <w:name w:val="明显强调1"/>
    <w:qFormat/>
    <w:uiPriority w:val="0"/>
    <w:rPr>
      <w:b/>
      <w:bCs/>
      <w:i/>
      <w:iCs/>
      <w:color w:val="4F81BD"/>
    </w:rPr>
  </w:style>
  <w:style w:type="character" w:customStyle="1" w:styleId="146">
    <w:name w:val="Char Char1"/>
    <w:qFormat/>
    <w:uiPriority w:val="0"/>
    <w:rPr>
      <w:rFonts w:eastAsia="宋体"/>
      <w:kern w:val="2"/>
      <w:sz w:val="21"/>
      <w:szCs w:val="24"/>
      <w:lang w:val="en-US" w:eastAsia="zh-CN" w:bidi="ar-SA"/>
    </w:rPr>
  </w:style>
  <w:style w:type="character" w:customStyle="1" w:styleId="147">
    <w:name w:val="Char Char21"/>
    <w:qFormat/>
    <w:uiPriority w:val="0"/>
    <w:rPr>
      <w:rFonts w:ascii="Arial" w:hAnsi="Arial" w:eastAsia="黑体"/>
      <w:b/>
      <w:bCs/>
      <w:sz w:val="24"/>
      <w:szCs w:val="24"/>
    </w:rPr>
  </w:style>
  <w:style w:type="character" w:customStyle="1" w:styleId="148">
    <w:name w:val="正文文本缩进 3 Char"/>
    <w:link w:val="32"/>
    <w:qFormat/>
    <w:uiPriority w:val="0"/>
    <w:rPr>
      <w:rFonts w:ascii="宋体" w:hAnsi="宋体" w:eastAsia="宋体"/>
      <w:sz w:val="28"/>
      <w:szCs w:val="21"/>
    </w:rPr>
  </w:style>
  <w:style w:type="character" w:customStyle="1" w:styleId="149">
    <w:name w:val="样式7 Char Char"/>
    <w:link w:val="150"/>
    <w:qFormat/>
    <w:uiPriority w:val="0"/>
    <w:rPr>
      <w:rFonts w:ascii="宋体" w:hAnsi="宋体" w:eastAsia="宋体"/>
      <w:sz w:val="24"/>
      <w:szCs w:val="28"/>
    </w:rPr>
  </w:style>
  <w:style w:type="paragraph" w:customStyle="1" w:styleId="150">
    <w:name w:val="样式7"/>
    <w:basedOn w:val="1"/>
    <w:link w:val="149"/>
    <w:qFormat/>
    <w:uiPriority w:val="0"/>
    <w:pPr>
      <w:tabs>
        <w:tab w:val="left" w:pos="1260"/>
        <w:tab w:val="left" w:pos="1470"/>
      </w:tabs>
      <w:spacing w:line="460" w:lineRule="exact"/>
      <w:ind w:firstLine="200" w:firstLineChars="200"/>
    </w:pPr>
    <w:rPr>
      <w:rFonts w:ascii="宋体" w:hAnsi="宋体" w:cstheme="minorBidi"/>
      <w:sz w:val="24"/>
      <w:szCs w:val="28"/>
    </w:rPr>
  </w:style>
  <w:style w:type="character" w:customStyle="1" w:styleId="151">
    <w:name w:val="标题 1 Char"/>
    <w:qFormat/>
    <w:uiPriority w:val="0"/>
    <w:rPr>
      <w:rFonts w:eastAsia="黑体"/>
      <w:b/>
      <w:kern w:val="2"/>
      <w:sz w:val="28"/>
      <w:lang w:val="en-US" w:eastAsia="zh-CN" w:bidi="ar-SA"/>
    </w:rPr>
  </w:style>
  <w:style w:type="character" w:customStyle="1" w:styleId="152">
    <w:name w:val="Char Char15"/>
    <w:qFormat/>
    <w:uiPriority w:val="0"/>
    <w:rPr>
      <w:rFonts w:eastAsia="宋体"/>
      <w:kern w:val="2"/>
      <w:sz w:val="21"/>
      <w:szCs w:val="24"/>
      <w:lang w:val="en-US" w:eastAsia="zh-CN" w:bidi="ar-SA"/>
    </w:rPr>
  </w:style>
  <w:style w:type="character" w:customStyle="1" w:styleId="153">
    <w:name w:val="批注框文本 Char3"/>
    <w:qFormat/>
    <w:uiPriority w:val="0"/>
    <w:rPr>
      <w:rFonts w:ascii="Times New Roman" w:hAnsi="Times New Roman" w:eastAsia="宋体" w:cs="Times New Roman"/>
      <w:sz w:val="18"/>
      <w:szCs w:val="18"/>
    </w:rPr>
  </w:style>
  <w:style w:type="character" w:customStyle="1" w:styleId="154">
    <w:name w:val="Char Char22"/>
    <w:qFormat/>
    <w:uiPriority w:val="0"/>
    <w:rPr>
      <w:kern w:val="2"/>
      <w:sz w:val="28"/>
      <w:szCs w:val="24"/>
    </w:rPr>
  </w:style>
  <w:style w:type="character" w:customStyle="1" w:styleId="155">
    <w:name w:val="标题 Char2"/>
    <w:qFormat/>
    <w:uiPriority w:val="0"/>
    <w:rPr>
      <w:rFonts w:ascii="Cambria" w:hAnsi="Cambria" w:cs="Times New Roman"/>
      <w:b/>
      <w:bCs/>
      <w:kern w:val="2"/>
      <w:sz w:val="32"/>
      <w:szCs w:val="32"/>
      <w:lang w:eastAsia="en-US"/>
    </w:rPr>
  </w:style>
  <w:style w:type="character" w:customStyle="1" w:styleId="156">
    <w:name w:val="HTML Preformatted Char1"/>
    <w:link w:val="157"/>
    <w:qFormat/>
    <w:uiPriority w:val="0"/>
    <w:rPr>
      <w:rFonts w:ascii="Courier New" w:hAnsi="Courier New"/>
    </w:rPr>
  </w:style>
  <w:style w:type="paragraph" w:customStyle="1" w:styleId="157">
    <w:name w:val="HTML 预设格式1"/>
    <w:basedOn w:val="1"/>
    <w:link w:val="156"/>
    <w:qFormat/>
    <w:uiPriority w:val="0"/>
    <w:rPr>
      <w:rFonts w:ascii="Courier New" w:hAnsi="Courier New" w:eastAsiaTheme="minorEastAsia" w:cstheme="minorBidi"/>
      <w:szCs w:val="22"/>
    </w:rPr>
  </w:style>
  <w:style w:type="character" w:customStyle="1" w:styleId="158">
    <w:name w:val="正文文本 3 Char"/>
    <w:link w:val="16"/>
    <w:qFormat/>
    <w:uiPriority w:val="0"/>
    <w:rPr>
      <w:rFonts w:ascii="宋体" w:eastAsia="宋体"/>
      <w:sz w:val="24"/>
    </w:rPr>
  </w:style>
  <w:style w:type="character" w:customStyle="1" w:styleId="159">
    <w:name w:val="hover77"/>
    <w:qFormat/>
    <w:uiPriority w:val="0"/>
    <w:rPr>
      <w:color w:val="FF6C00"/>
      <w:u w:val="none"/>
    </w:rPr>
  </w:style>
  <w:style w:type="character" w:customStyle="1" w:styleId="160">
    <w:name w:val="正文文本 Char"/>
    <w:link w:val="17"/>
    <w:qFormat/>
    <w:uiPriority w:val="0"/>
    <w:rPr>
      <w:rFonts w:eastAsia="宋体"/>
      <w:szCs w:val="24"/>
    </w:rPr>
  </w:style>
  <w:style w:type="character" w:customStyle="1" w:styleId="161">
    <w:name w:val="15"/>
    <w:qFormat/>
    <w:uiPriority w:val="0"/>
    <w:rPr>
      <w:rFonts w:hint="default" w:ascii="Times New Roman" w:hAnsi="Times New Roman" w:cs="Times New Roman"/>
      <w:kern w:val="0"/>
      <w:lang w:eastAsia="en-US"/>
    </w:rPr>
  </w:style>
  <w:style w:type="character" w:customStyle="1" w:styleId="162">
    <w:name w:val="Char Char121"/>
    <w:qFormat/>
    <w:uiPriority w:val="0"/>
    <w:rPr>
      <w:rFonts w:eastAsia="宋体"/>
      <w:kern w:val="2"/>
      <w:sz w:val="18"/>
      <w:szCs w:val="18"/>
      <w:lang w:val="en-US" w:eastAsia="zh-CN" w:bidi="ar-SA"/>
    </w:rPr>
  </w:style>
  <w:style w:type="character" w:customStyle="1" w:styleId="163">
    <w:name w:val="Char Char26"/>
    <w:qFormat/>
    <w:uiPriority w:val="0"/>
    <w:rPr>
      <w:rFonts w:eastAsia="宋体"/>
      <w:b/>
      <w:bCs/>
      <w:kern w:val="44"/>
      <w:sz w:val="44"/>
      <w:szCs w:val="44"/>
      <w:lang w:val="en-US" w:eastAsia="zh-CN" w:bidi="ar-SA"/>
    </w:rPr>
  </w:style>
  <w:style w:type="character" w:customStyle="1" w:styleId="164">
    <w:name w:val="Char Char4"/>
    <w:qFormat/>
    <w:uiPriority w:val="0"/>
    <w:rPr>
      <w:rFonts w:ascii="Courier New" w:hAnsi="Courier New" w:eastAsia="宋体" w:cs="Courier New"/>
      <w:kern w:val="2"/>
      <w:lang w:val="en-US" w:eastAsia="zh-CN" w:bidi="ar-SA"/>
    </w:rPr>
  </w:style>
  <w:style w:type="character" w:customStyle="1" w:styleId="165">
    <w:name w:val="bds_more3"/>
    <w:basedOn w:val="42"/>
    <w:qFormat/>
    <w:uiPriority w:val="0"/>
  </w:style>
  <w:style w:type="character" w:customStyle="1" w:styleId="166">
    <w:name w:val="10"/>
    <w:qFormat/>
    <w:uiPriority w:val="0"/>
    <w:rPr>
      <w:rFonts w:hint="default" w:ascii="Times New Roman" w:hAnsi="Times New Roman" w:cs="Times New Roman"/>
      <w:kern w:val="0"/>
      <w:lang w:eastAsia="en-US"/>
    </w:rPr>
  </w:style>
  <w:style w:type="paragraph" w:customStyle="1" w:styleId="167">
    <w:name w:val="_Style 41"/>
    <w:basedOn w:val="1"/>
    <w:qFormat/>
    <w:uiPriority w:val="0"/>
    <w:pPr>
      <w:widowControl/>
      <w:spacing w:after="160" w:line="240" w:lineRule="exact"/>
      <w:jc w:val="left"/>
    </w:pPr>
  </w:style>
  <w:style w:type="paragraph" w:customStyle="1" w:styleId="168">
    <w:name w:val="font12"/>
    <w:basedOn w:val="1"/>
    <w:qFormat/>
    <w:uiPriority w:val="0"/>
    <w:pPr>
      <w:widowControl/>
      <w:spacing w:before="100" w:beforeAutospacing="1" w:after="100" w:afterAutospacing="1"/>
      <w:jc w:val="left"/>
    </w:pPr>
    <w:rPr>
      <w:rFonts w:eastAsia="Arial Unicode MS"/>
      <w:color w:val="000000"/>
      <w:kern w:val="0"/>
      <w:sz w:val="24"/>
    </w:rPr>
  </w:style>
  <w:style w:type="paragraph" w:customStyle="1" w:styleId="169">
    <w:name w:val="修订1"/>
    <w:qFormat/>
    <w:uiPriority w:val="0"/>
    <w:rPr>
      <w:rFonts w:ascii="Times New Roman" w:hAnsi="Times New Roman" w:eastAsia="宋体" w:cs="Times New Roman"/>
      <w:kern w:val="2"/>
      <w:sz w:val="21"/>
      <w:szCs w:val="24"/>
      <w:lang w:val="en-US" w:eastAsia="zh-CN" w:bidi="ar-SA"/>
    </w:rPr>
  </w:style>
  <w:style w:type="paragraph" w:customStyle="1" w:styleId="170">
    <w:name w:val="简单回函地址"/>
    <w:basedOn w:val="1"/>
    <w:qFormat/>
    <w:uiPriority w:val="0"/>
  </w:style>
  <w:style w:type="character" w:customStyle="1" w:styleId="171">
    <w:name w:val="正文文本缩进 3 字符1"/>
    <w:basedOn w:val="42"/>
    <w:semiHidden/>
    <w:qFormat/>
    <w:uiPriority w:val="99"/>
    <w:rPr>
      <w:rFonts w:ascii="Times New Roman" w:hAnsi="Times New Roman" w:eastAsia="宋体" w:cs="Times New Roman"/>
      <w:sz w:val="16"/>
      <w:szCs w:val="16"/>
    </w:rPr>
  </w:style>
  <w:style w:type="paragraph" w:customStyle="1" w:styleId="172">
    <w:name w:val="Char Char Char Char"/>
    <w:basedOn w:val="1"/>
    <w:qFormat/>
    <w:uiPriority w:val="0"/>
    <w:rPr>
      <w:rFonts w:ascii="Tahoma" w:hAnsi="Tahoma"/>
      <w:sz w:val="24"/>
      <w:szCs w:val="20"/>
    </w:rPr>
  </w:style>
  <w:style w:type="paragraph" w:customStyle="1" w:styleId="173">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character" w:customStyle="1" w:styleId="174">
    <w:name w:val="正文文本 字符1"/>
    <w:basedOn w:val="42"/>
    <w:semiHidden/>
    <w:qFormat/>
    <w:uiPriority w:val="99"/>
    <w:rPr>
      <w:rFonts w:ascii="Times New Roman" w:hAnsi="Times New Roman" w:eastAsia="宋体" w:cs="Times New Roman"/>
      <w:szCs w:val="24"/>
    </w:rPr>
  </w:style>
  <w:style w:type="paragraph" w:customStyle="1" w:styleId="175">
    <w:name w:val="font10"/>
    <w:basedOn w:val="1"/>
    <w:qFormat/>
    <w:uiPriority w:val="0"/>
    <w:pPr>
      <w:widowControl/>
      <w:spacing w:before="100" w:beforeAutospacing="1" w:after="100" w:afterAutospacing="1"/>
      <w:jc w:val="left"/>
    </w:pPr>
    <w:rPr>
      <w:rFonts w:hint="eastAsia" w:ascii="宋体" w:hAnsi="宋体" w:cs="Arial Unicode MS"/>
      <w:color w:val="FF0000"/>
      <w:kern w:val="0"/>
      <w:sz w:val="24"/>
    </w:rPr>
  </w:style>
  <w:style w:type="paragraph" w:customStyle="1" w:styleId="176">
    <w:name w:val="默认段落字体 Para Char"/>
    <w:basedOn w:val="1"/>
    <w:qFormat/>
    <w:uiPriority w:val="0"/>
    <w:pPr>
      <w:spacing w:line="360" w:lineRule="auto"/>
      <w:ind w:firstLine="200" w:firstLineChars="200"/>
    </w:pPr>
    <w:rPr>
      <w:rFonts w:ascii="宋体" w:hAnsi="宋体" w:cs="宋体"/>
      <w:sz w:val="24"/>
    </w:rPr>
  </w:style>
  <w:style w:type="paragraph" w:customStyle="1" w:styleId="177">
    <w:name w:val="样式3"/>
    <w:basedOn w:val="1"/>
    <w:qFormat/>
    <w:uiPriority w:val="0"/>
    <w:pPr>
      <w:ind w:firstLine="560" w:firstLineChars="200"/>
    </w:pPr>
    <w:rPr>
      <w:rFonts w:ascii="黑体" w:eastAsia="黑体"/>
      <w:b/>
      <w:sz w:val="28"/>
    </w:rPr>
  </w:style>
  <w:style w:type="paragraph" w:customStyle="1" w:styleId="178">
    <w:name w:val="样式4"/>
    <w:basedOn w:val="177"/>
    <w:qFormat/>
    <w:uiPriority w:val="0"/>
    <w:pPr>
      <w:ind w:firstLine="562"/>
    </w:pPr>
    <w:rPr>
      <w:bCs/>
    </w:rPr>
  </w:style>
  <w:style w:type="paragraph" w:customStyle="1" w:styleId="179">
    <w:name w:val="样式2"/>
    <w:basedOn w:val="1"/>
    <w:qFormat/>
    <w:uiPriority w:val="0"/>
    <w:pPr>
      <w:adjustRightInd w:val="0"/>
      <w:spacing w:before="240" w:after="240" w:line="360" w:lineRule="auto"/>
      <w:jc w:val="center"/>
    </w:pPr>
    <w:rPr>
      <w:rFonts w:ascii="黑体" w:eastAsia="黑体"/>
      <w:kern w:val="0"/>
      <w:sz w:val="28"/>
      <w:szCs w:val="20"/>
    </w:rPr>
  </w:style>
  <w:style w:type="paragraph" w:customStyle="1" w:styleId="180">
    <w:name w:val="Char1"/>
    <w:basedOn w:val="1"/>
    <w:qFormat/>
    <w:uiPriority w:val="0"/>
    <w:pPr>
      <w:spacing w:line="360" w:lineRule="auto"/>
      <w:ind w:firstLine="200" w:firstLineChars="200"/>
    </w:pPr>
  </w:style>
  <w:style w:type="paragraph" w:customStyle="1" w:styleId="181">
    <w:name w:val="xl25"/>
    <w:basedOn w:val="1"/>
    <w:qFormat/>
    <w:uiPriority w:val="0"/>
    <w:pPr>
      <w:widowControl/>
      <w:spacing w:before="100" w:beforeAutospacing="1" w:after="100" w:afterAutospacing="1"/>
      <w:jc w:val="left"/>
    </w:pPr>
    <w:rPr>
      <w:rFonts w:ascii="Arial Unicode MS" w:hAnsi="Arial Unicode MS" w:eastAsia="Arial Unicode MS" w:cs="Arial Unicode MS"/>
      <w:kern w:val="0"/>
      <w:sz w:val="22"/>
      <w:szCs w:val="22"/>
    </w:rPr>
  </w:style>
  <w:style w:type="character" w:customStyle="1" w:styleId="182">
    <w:name w:val="日期 字符1"/>
    <w:basedOn w:val="42"/>
    <w:semiHidden/>
    <w:qFormat/>
    <w:uiPriority w:val="99"/>
    <w:rPr>
      <w:rFonts w:ascii="Times New Roman" w:hAnsi="Times New Roman" w:eastAsia="宋体" w:cs="Times New Roman"/>
      <w:szCs w:val="24"/>
    </w:rPr>
  </w:style>
  <w:style w:type="paragraph" w:customStyle="1" w:styleId="183">
    <w:name w:val="报告-正文-图名"/>
    <w:basedOn w:val="5"/>
    <w:qFormat/>
    <w:uiPriority w:val="0"/>
    <w:pPr>
      <w:keepNext w:val="0"/>
      <w:keepLines w:val="0"/>
      <w:spacing w:before="0" w:after="120" w:line="360" w:lineRule="auto"/>
      <w:jc w:val="center"/>
      <w:outlineLvl w:val="9"/>
    </w:pPr>
    <w:rPr>
      <w:rFonts w:ascii="宋体"/>
      <w:b w:val="0"/>
      <w:sz w:val="21"/>
      <w:szCs w:val="21"/>
    </w:rPr>
  </w:style>
  <w:style w:type="paragraph" w:customStyle="1" w:styleId="184">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character" w:customStyle="1" w:styleId="185">
    <w:name w:val="标题 字符1"/>
    <w:basedOn w:val="42"/>
    <w:qFormat/>
    <w:uiPriority w:val="10"/>
    <w:rPr>
      <w:rFonts w:asciiTheme="majorHAnsi" w:hAnsiTheme="majorHAnsi" w:eastAsiaTheme="majorEastAsia" w:cstheme="majorBidi"/>
      <w:b/>
      <w:bCs/>
      <w:sz w:val="32"/>
      <w:szCs w:val="32"/>
    </w:rPr>
  </w:style>
  <w:style w:type="paragraph" w:customStyle="1" w:styleId="186">
    <w:name w:val="表格文字格式"/>
    <w:basedOn w:val="17"/>
    <w:qFormat/>
    <w:uiPriority w:val="0"/>
    <w:pPr>
      <w:ind w:firstLine="50" w:firstLineChars="50"/>
    </w:pPr>
  </w:style>
  <w:style w:type="paragraph" w:customStyle="1" w:styleId="187">
    <w:name w:val="纯文本1"/>
    <w:basedOn w:val="1"/>
    <w:qFormat/>
    <w:uiPriority w:val="0"/>
    <w:pPr>
      <w:adjustRightInd w:val="0"/>
      <w:textAlignment w:val="baseline"/>
    </w:pPr>
    <w:rPr>
      <w:rFonts w:ascii="宋体" w:hAnsi="Courier New"/>
      <w:sz w:val="32"/>
      <w:szCs w:val="32"/>
    </w:rPr>
  </w:style>
  <w:style w:type="character" w:customStyle="1" w:styleId="188">
    <w:name w:val="HTML 预设格式 字符1"/>
    <w:basedOn w:val="42"/>
    <w:semiHidden/>
    <w:qFormat/>
    <w:uiPriority w:val="99"/>
    <w:rPr>
      <w:rFonts w:ascii="Courier New" w:hAnsi="Courier New" w:eastAsia="宋体" w:cs="Courier New"/>
      <w:sz w:val="20"/>
      <w:szCs w:val="20"/>
    </w:rPr>
  </w:style>
  <w:style w:type="paragraph" w:customStyle="1" w:styleId="189">
    <w:name w:val="Char Char Char Char Char Char Char Char Char"/>
    <w:basedOn w:val="1"/>
    <w:qFormat/>
    <w:uiPriority w:val="0"/>
    <w:rPr>
      <w:rFonts w:ascii="Tahoma" w:hAnsi="Tahoma"/>
      <w:sz w:val="24"/>
      <w:szCs w:val="20"/>
    </w:rPr>
  </w:style>
  <w:style w:type="paragraph" w:customStyle="1" w:styleId="190">
    <w:name w:val="Char Char Char Char1"/>
    <w:basedOn w:val="1"/>
    <w:qFormat/>
    <w:uiPriority w:val="0"/>
    <w:pPr>
      <w:spacing w:line="360" w:lineRule="auto"/>
      <w:ind w:firstLine="200" w:firstLineChars="200"/>
    </w:pPr>
    <w:rPr>
      <w:rFonts w:ascii="宋体" w:hAnsi="宋体" w:cs="宋体"/>
      <w:sz w:val="24"/>
    </w:rPr>
  </w:style>
  <w:style w:type="character" w:customStyle="1" w:styleId="191">
    <w:name w:val="脚注文本 字符1"/>
    <w:basedOn w:val="42"/>
    <w:semiHidden/>
    <w:qFormat/>
    <w:uiPriority w:val="99"/>
    <w:rPr>
      <w:rFonts w:ascii="Times New Roman" w:hAnsi="Times New Roman" w:eastAsia="宋体" w:cs="Times New Roman"/>
      <w:sz w:val="18"/>
      <w:szCs w:val="18"/>
    </w:rPr>
  </w:style>
  <w:style w:type="paragraph" w:customStyle="1" w:styleId="192">
    <w:name w:val="样式 标题 2 + 左侧:  2 字符"/>
    <w:basedOn w:val="4"/>
    <w:qFormat/>
    <w:uiPriority w:val="0"/>
    <w:pPr>
      <w:spacing w:before="380" w:after="380" w:line="415" w:lineRule="auto"/>
      <w:ind w:left="420" w:leftChars="200"/>
    </w:pPr>
    <w:rPr>
      <w:rFonts w:eastAsia="宋体"/>
      <w:sz w:val="30"/>
      <w:szCs w:val="20"/>
    </w:rPr>
  </w:style>
  <w:style w:type="character" w:customStyle="1" w:styleId="193">
    <w:name w:val="批注文字 字符1"/>
    <w:basedOn w:val="42"/>
    <w:semiHidden/>
    <w:qFormat/>
    <w:uiPriority w:val="99"/>
    <w:rPr>
      <w:rFonts w:ascii="Times New Roman" w:hAnsi="Times New Roman" w:eastAsia="宋体" w:cs="Times New Roman"/>
      <w:szCs w:val="24"/>
    </w:rPr>
  </w:style>
  <w:style w:type="paragraph" w:customStyle="1" w:styleId="194">
    <w:name w:val="p18"/>
    <w:basedOn w:val="1"/>
    <w:qFormat/>
    <w:uiPriority w:val="0"/>
    <w:pPr>
      <w:widowControl/>
      <w:pBdr>
        <w:bottom w:val="single" w:color="000000" w:sz="6" w:space="1"/>
      </w:pBdr>
      <w:jc w:val="center"/>
    </w:pPr>
    <w:rPr>
      <w:kern w:val="0"/>
      <w:sz w:val="18"/>
      <w:szCs w:val="18"/>
    </w:rPr>
  </w:style>
  <w:style w:type="paragraph" w:customStyle="1" w:styleId="195">
    <w:name w:val="列出段落2"/>
    <w:basedOn w:val="1"/>
    <w:qFormat/>
    <w:uiPriority w:val="0"/>
    <w:pPr>
      <w:spacing w:line="440" w:lineRule="exact"/>
      <w:ind w:firstLine="520" w:firstLineChars="200"/>
    </w:pPr>
    <w:rPr>
      <w:rFonts w:hAnsi="Calibri"/>
      <w:sz w:val="26"/>
      <w:szCs w:val="26"/>
    </w:rPr>
  </w:style>
  <w:style w:type="paragraph" w:customStyle="1" w:styleId="196">
    <w:name w:val="font8"/>
    <w:basedOn w:val="1"/>
    <w:qFormat/>
    <w:uiPriority w:val="0"/>
    <w:pPr>
      <w:widowControl/>
      <w:spacing w:before="100" w:beforeAutospacing="1" w:after="100" w:afterAutospacing="1"/>
      <w:jc w:val="left"/>
    </w:pPr>
    <w:rPr>
      <w:rFonts w:hint="eastAsia" w:ascii="宋体" w:hAnsi="宋体" w:cs="Arial Unicode MS"/>
      <w:kern w:val="0"/>
      <w:sz w:val="22"/>
      <w:szCs w:val="22"/>
    </w:rPr>
  </w:style>
  <w:style w:type="paragraph" w:customStyle="1" w:styleId="197">
    <w:name w:val="xl31"/>
    <w:basedOn w:val="1"/>
    <w:qFormat/>
    <w:uiPriority w:val="0"/>
    <w:pPr>
      <w:widowControl/>
      <w:shd w:val="clear" w:color="auto" w:fill="FFFF00"/>
      <w:spacing w:before="100" w:beforeAutospacing="1" w:after="100" w:afterAutospacing="1"/>
      <w:jc w:val="left"/>
    </w:pPr>
    <w:rPr>
      <w:rFonts w:ascii="Arial Unicode MS" w:hAnsi="Arial Unicode MS" w:eastAsia="Arial Unicode MS" w:cs="Arial Unicode MS"/>
      <w:kern w:val="0"/>
      <w:sz w:val="24"/>
    </w:rPr>
  </w:style>
  <w:style w:type="paragraph" w:customStyle="1" w:styleId="198">
    <w:name w:val="font6"/>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199">
    <w:name w:val="ST20_1"/>
    <w:basedOn w:val="1"/>
    <w:qFormat/>
    <w:uiPriority w:val="0"/>
    <w:pPr>
      <w:autoSpaceDE w:val="0"/>
      <w:autoSpaceDN w:val="0"/>
      <w:adjustRightInd w:val="0"/>
      <w:jc w:val="center"/>
      <w:textAlignment w:val="baseline"/>
    </w:pPr>
    <w:rPr>
      <w:kern w:val="0"/>
      <w:sz w:val="24"/>
      <w:szCs w:val="20"/>
    </w:rPr>
  </w:style>
  <w:style w:type="paragraph" w:customStyle="1" w:styleId="200">
    <w:name w:val="xl35"/>
    <w:basedOn w:val="1"/>
    <w:qFormat/>
    <w:uiPriority w:val="0"/>
    <w:pPr>
      <w:widowControl/>
      <w:spacing w:before="100" w:beforeAutospacing="1" w:after="100" w:afterAutospacing="1"/>
      <w:jc w:val="center"/>
    </w:pPr>
    <w:rPr>
      <w:rFonts w:ascii="Arial Unicode MS" w:hAnsi="Arial Unicode MS" w:eastAsia="Arial Unicode MS" w:cs="Arial Unicode MS"/>
      <w:b/>
      <w:bCs/>
      <w:kern w:val="0"/>
      <w:sz w:val="22"/>
      <w:szCs w:val="22"/>
    </w:rPr>
  </w:style>
  <w:style w:type="paragraph" w:customStyle="1" w:styleId="201">
    <w:name w:val="font1"/>
    <w:basedOn w:val="1"/>
    <w:qFormat/>
    <w:uiPriority w:val="0"/>
    <w:pPr>
      <w:widowControl/>
      <w:spacing w:before="100" w:beforeAutospacing="1" w:after="100" w:afterAutospacing="1"/>
      <w:jc w:val="left"/>
    </w:pPr>
    <w:rPr>
      <w:rFonts w:hint="eastAsia" w:ascii="宋体" w:hAnsi="宋体" w:cs="Arial Unicode MS"/>
      <w:kern w:val="0"/>
      <w:sz w:val="24"/>
    </w:rPr>
  </w:style>
  <w:style w:type="character" w:customStyle="1" w:styleId="202">
    <w:name w:val="正文文本缩进 2 字符1"/>
    <w:basedOn w:val="42"/>
    <w:semiHidden/>
    <w:qFormat/>
    <w:uiPriority w:val="99"/>
    <w:rPr>
      <w:rFonts w:ascii="Times New Roman" w:hAnsi="Times New Roman" w:eastAsia="宋体" w:cs="Times New Roman"/>
      <w:szCs w:val="24"/>
    </w:rPr>
  </w:style>
  <w:style w:type="character" w:customStyle="1" w:styleId="203">
    <w:name w:val="批注主题 字符1"/>
    <w:basedOn w:val="193"/>
    <w:semiHidden/>
    <w:qFormat/>
    <w:uiPriority w:val="99"/>
    <w:rPr>
      <w:rFonts w:ascii="Times New Roman" w:hAnsi="Times New Roman" w:eastAsia="宋体" w:cs="Times New Roman"/>
      <w:b/>
      <w:bCs/>
      <w:szCs w:val="24"/>
    </w:rPr>
  </w:style>
  <w:style w:type="character" w:customStyle="1" w:styleId="204">
    <w:name w:val="正文文本 3 字符1"/>
    <w:basedOn w:val="42"/>
    <w:semiHidden/>
    <w:qFormat/>
    <w:uiPriority w:val="99"/>
    <w:rPr>
      <w:rFonts w:ascii="Times New Roman" w:hAnsi="Times New Roman" w:eastAsia="宋体" w:cs="Times New Roman"/>
      <w:sz w:val="16"/>
      <w:szCs w:val="16"/>
    </w:rPr>
  </w:style>
  <w:style w:type="character" w:customStyle="1" w:styleId="205">
    <w:name w:val="批注框文本 字符1"/>
    <w:basedOn w:val="42"/>
    <w:semiHidden/>
    <w:qFormat/>
    <w:uiPriority w:val="99"/>
    <w:rPr>
      <w:rFonts w:ascii="Times New Roman" w:hAnsi="Times New Roman" w:eastAsia="宋体" w:cs="Times New Roman"/>
      <w:sz w:val="18"/>
      <w:szCs w:val="18"/>
    </w:rPr>
  </w:style>
  <w:style w:type="paragraph" w:customStyle="1" w:styleId="206">
    <w:name w:val="xl34"/>
    <w:basedOn w:val="1"/>
    <w:qFormat/>
    <w:uiPriority w:val="0"/>
    <w:pPr>
      <w:widowControl/>
      <w:spacing w:before="100" w:beforeAutospacing="1" w:after="100" w:afterAutospacing="1"/>
      <w:jc w:val="left"/>
    </w:pPr>
    <w:rPr>
      <w:rFonts w:ascii="Arial Unicode MS" w:hAnsi="Arial Unicode MS" w:eastAsia="Arial Unicode MS" w:cs="Arial Unicode MS"/>
      <w:b/>
      <w:bCs/>
      <w:kern w:val="0"/>
      <w:sz w:val="22"/>
      <w:szCs w:val="22"/>
    </w:rPr>
  </w:style>
  <w:style w:type="paragraph" w:customStyle="1" w:styleId="207">
    <w:name w:val="font0"/>
    <w:basedOn w:val="1"/>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208">
    <w:name w:val="表中"/>
    <w:basedOn w:val="1"/>
    <w:qFormat/>
    <w:uiPriority w:val="0"/>
    <w:pPr>
      <w:spacing w:line="360" w:lineRule="atLeast"/>
      <w:jc w:val="center"/>
    </w:pPr>
    <w:rPr>
      <w:color w:val="000000"/>
      <w:kern w:val="0"/>
      <w:szCs w:val="20"/>
    </w:rPr>
  </w:style>
  <w:style w:type="paragraph" w:customStyle="1" w:styleId="209">
    <w:name w:val="?y??"/>
    <w:uiPriority w:val="0"/>
    <w:pPr>
      <w:widowControl w:val="0"/>
      <w:overflowPunct w:val="0"/>
      <w:autoSpaceDE w:val="0"/>
      <w:autoSpaceDN w:val="0"/>
      <w:adjustRightInd w:val="0"/>
      <w:spacing w:line="357" w:lineRule="atLeast"/>
      <w:jc w:val="both"/>
      <w:textAlignment w:val="baseline"/>
    </w:pPr>
    <w:rPr>
      <w:rFonts w:ascii="Times New Roman" w:hAnsi="Times New Roman" w:eastAsia="宋体" w:cs="Times New Roman"/>
      <w:color w:val="000000"/>
      <w:sz w:val="21"/>
      <w:lang w:val="en-US" w:eastAsia="zh-CN" w:bidi="ar-SA"/>
    </w:rPr>
  </w:style>
  <w:style w:type="paragraph" w:customStyle="1" w:styleId="210">
    <w:name w:val="xl2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211">
    <w:name w:val="p17"/>
    <w:basedOn w:val="1"/>
    <w:qFormat/>
    <w:uiPriority w:val="0"/>
    <w:pPr>
      <w:widowControl/>
      <w:jc w:val="left"/>
    </w:pPr>
    <w:rPr>
      <w:kern w:val="0"/>
      <w:sz w:val="18"/>
      <w:szCs w:val="18"/>
    </w:rPr>
  </w:style>
  <w:style w:type="paragraph" w:customStyle="1" w:styleId="212">
    <w:name w:val="框图文字"/>
    <w:basedOn w:val="1"/>
    <w:qFormat/>
    <w:uiPriority w:val="0"/>
    <w:pPr>
      <w:jc w:val="center"/>
    </w:pPr>
    <w:rPr>
      <w:spacing w:val="-4"/>
      <w:szCs w:val="21"/>
    </w:rPr>
  </w:style>
  <w:style w:type="paragraph" w:customStyle="1" w:styleId="213">
    <w:name w:val="纯文本3"/>
    <w:basedOn w:val="1"/>
    <w:qFormat/>
    <w:uiPriority w:val="0"/>
    <w:pPr>
      <w:adjustRightInd w:val="0"/>
      <w:textAlignment w:val="baseline"/>
    </w:pPr>
    <w:rPr>
      <w:rFonts w:ascii="宋体" w:hAnsi="Courier New"/>
      <w:sz w:val="32"/>
      <w:szCs w:val="32"/>
    </w:rPr>
  </w:style>
  <w:style w:type="paragraph" w:customStyle="1" w:styleId="214">
    <w:name w:val="xl49"/>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215">
    <w:name w:val="font7"/>
    <w:basedOn w:val="1"/>
    <w:qFormat/>
    <w:uiPriority w:val="0"/>
    <w:pPr>
      <w:widowControl/>
      <w:spacing w:before="100" w:beforeAutospacing="1" w:after="100" w:afterAutospacing="1"/>
      <w:jc w:val="left"/>
    </w:pPr>
    <w:rPr>
      <w:rFonts w:eastAsia="Arial Unicode MS"/>
      <w:kern w:val="0"/>
      <w:sz w:val="22"/>
      <w:szCs w:val="22"/>
    </w:rPr>
  </w:style>
  <w:style w:type="paragraph" w:customStyle="1" w:styleId="216">
    <w:name w:val="p19"/>
    <w:basedOn w:val="1"/>
    <w:qFormat/>
    <w:uiPriority w:val="0"/>
    <w:pPr>
      <w:widowControl/>
    </w:pPr>
    <w:rPr>
      <w:rFonts w:ascii="宋体" w:hAnsi="宋体" w:cs="宋体"/>
      <w:kern w:val="0"/>
      <w:szCs w:val="21"/>
    </w:rPr>
  </w:style>
  <w:style w:type="character" w:customStyle="1" w:styleId="217">
    <w:name w:val="文档结构图 字符1"/>
    <w:basedOn w:val="42"/>
    <w:semiHidden/>
    <w:qFormat/>
    <w:uiPriority w:val="99"/>
    <w:rPr>
      <w:rFonts w:ascii="Microsoft YaHei UI" w:hAnsi="Times New Roman" w:eastAsia="Microsoft YaHei UI" w:cs="Times New Roman"/>
      <w:sz w:val="18"/>
      <w:szCs w:val="18"/>
    </w:rPr>
  </w:style>
  <w:style w:type="paragraph" w:customStyle="1" w:styleId="218">
    <w:name w:val="Char Char Char Char Char Char1"/>
    <w:basedOn w:val="1"/>
    <w:qFormat/>
    <w:uiPriority w:val="0"/>
    <w:pPr>
      <w:widowControl/>
      <w:spacing w:after="160" w:line="240" w:lineRule="exact"/>
      <w:jc w:val="left"/>
    </w:pPr>
    <w:rPr>
      <w:rFonts w:ascii="Arial" w:hAnsi="Arial"/>
      <w:kern w:val="0"/>
      <w:sz w:val="22"/>
      <w:szCs w:val="22"/>
      <w:lang w:eastAsia="en-US"/>
    </w:rPr>
  </w:style>
  <w:style w:type="paragraph" w:customStyle="1" w:styleId="219">
    <w:name w:val="xl33"/>
    <w:basedOn w:val="1"/>
    <w:qFormat/>
    <w:uiPriority w:val="0"/>
    <w:pPr>
      <w:widowControl/>
      <w:spacing w:before="100" w:beforeAutospacing="1" w:after="100" w:afterAutospacing="1"/>
      <w:jc w:val="left"/>
    </w:pPr>
    <w:rPr>
      <w:rFonts w:ascii="Arial Unicode MS" w:hAnsi="Arial Unicode MS" w:eastAsia="Arial Unicode MS" w:cs="Arial Unicode MS"/>
      <w:b/>
      <w:bCs/>
      <w:kern w:val="0"/>
      <w:sz w:val="24"/>
    </w:rPr>
  </w:style>
  <w:style w:type="paragraph" w:customStyle="1" w:styleId="220">
    <w:name w:val="纯文本21"/>
    <w:basedOn w:val="1"/>
    <w:qFormat/>
    <w:uiPriority w:val="0"/>
    <w:pPr>
      <w:adjustRightInd w:val="0"/>
      <w:textAlignment w:val="baseline"/>
    </w:pPr>
    <w:rPr>
      <w:rFonts w:ascii="宋体" w:hAnsi="Courier New"/>
      <w:sz w:val="32"/>
      <w:szCs w:val="32"/>
    </w:rPr>
  </w:style>
  <w:style w:type="paragraph" w:customStyle="1" w:styleId="221">
    <w:name w:val="xl30"/>
    <w:basedOn w:val="1"/>
    <w:qFormat/>
    <w:uiPriority w:val="0"/>
    <w:pPr>
      <w:widowControl/>
      <w:spacing w:before="100" w:beforeAutospacing="1" w:after="100" w:afterAutospacing="1"/>
      <w:jc w:val="left"/>
    </w:pPr>
    <w:rPr>
      <w:rFonts w:eastAsia="Arial Unicode MS"/>
      <w:kern w:val="0"/>
      <w:sz w:val="24"/>
    </w:rPr>
  </w:style>
  <w:style w:type="paragraph" w:customStyle="1" w:styleId="222">
    <w:name w:val="Char"/>
    <w:basedOn w:val="1"/>
    <w:qFormat/>
    <w:uiPriority w:val="0"/>
    <w:pPr>
      <w:widowControl/>
      <w:spacing w:after="160" w:line="240" w:lineRule="exact"/>
      <w:jc w:val="left"/>
    </w:pPr>
    <w:rPr>
      <w:szCs w:val="20"/>
    </w:rPr>
  </w:style>
  <w:style w:type="character" w:customStyle="1" w:styleId="223">
    <w:name w:val="正文文本缩进 字符1"/>
    <w:basedOn w:val="42"/>
    <w:semiHidden/>
    <w:qFormat/>
    <w:uiPriority w:val="99"/>
    <w:rPr>
      <w:rFonts w:ascii="Times New Roman" w:hAnsi="Times New Roman" w:eastAsia="宋体" w:cs="Times New Roman"/>
      <w:szCs w:val="24"/>
    </w:rPr>
  </w:style>
  <w:style w:type="paragraph" w:customStyle="1" w:styleId="224">
    <w:name w:val="样式1"/>
    <w:basedOn w:val="1"/>
    <w:qFormat/>
    <w:uiPriority w:val="0"/>
    <w:pPr>
      <w:adjustRightInd w:val="0"/>
      <w:spacing w:before="360" w:after="240" w:line="360" w:lineRule="auto"/>
      <w:jc w:val="center"/>
    </w:pPr>
    <w:rPr>
      <w:rFonts w:ascii="黑体" w:eastAsia="黑体"/>
      <w:kern w:val="0"/>
      <w:sz w:val="32"/>
      <w:szCs w:val="20"/>
    </w:rPr>
  </w:style>
  <w:style w:type="paragraph" w:customStyle="1" w:styleId="225">
    <w:name w:val="font5"/>
    <w:basedOn w:val="1"/>
    <w:qFormat/>
    <w:uiPriority w:val="0"/>
    <w:pPr>
      <w:widowControl/>
      <w:spacing w:before="100" w:beforeAutospacing="1" w:after="100" w:afterAutospacing="1"/>
      <w:jc w:val="left"/>
    </w:pPr>
    <w:rPr>
      <w:rFonts w:hint="eastAsia" w:ascii="宋体" w:hAnsi="宋体" w:cs="Arial Unicode MS"/>
      <w:kern w:val="0"/>
      <w:sz w:val="24"/>
    </w:rPr>
  </w:style>
  <w:style w:type="character" w:customStyle="1" w:styleId="226">
    <w:name w:val="正文文本 2 字符1"/>
    <w:basedOn w:val="42"/>
    <w:semiHidden/>
    <w:qFormat/>
    <w:uiPriority w:val="99"/>
    <w:rPr>
      <w:rFonts w:ascii="Times New Roman" w:hAnsi="Times New Roman" w:eastAsia="宋体" w:cs="Times New Roman"/>
      <w:szCs w:val="24"/>
    </w:rPr>
  </w:style>
  <w:style w:type="character" w:customStyle="1" w:styleId="227">
    <w:name w:val="纯文本 字符1"/>
    <w:basedOn w:val="42"/>
    <w:semiHidden/>
    <w:qFormat/>
    <w:uiPriority w:val="99"/>
    <w:rPr>
      <w:rFonts w:hAnsi="Courier New" w:cs="Courier New" w:asciiTheme="minorEastAsia"/>
      <w:szCs w:val="24"/>
    </w:rPr>
  </w:style>
  <w:style w:type="paragraph" w:customStyle="1" w:styleId="228">
    <w:name w:val="Char Char Char Char Char Char1 Char Char Char Char"/>
    <w:basedOn w:val="1"/>
    <w:qFormat/>
    <w:uiPriority w:val="0"/>
    <w:pPr>
      <w:widowControl/>
      <w:spacing w:after="160" w:line="240" w:lineRule="exact"/>
      <w:jc w:val="left"/>
    </w:pPr>
    <w:rPr>
      <w:rFonts w:ascii="Verdana" w:hAnsi="Verdana"/>
      <w:kern w:val="0"/>
      <w:szCs w:val="20"/>
      <w:lang w:eastAsia="en-US"/>
    </w:rPr>
  </w:style>
  <w:style w:type="paragraph" w:customStyle="1" w:styleId="229">
    <w:name w:val="xl27"/>
    <w:basedOn w:val="1"/>
    <w:qFormat/>
    <w:uiPriority w:val="0"/>
    <w:pPr>
      <w:widowControl/>
      <w:spacing w:before="100" w:beforeAutospacing="1" w:after="100" w:afterAutospacing="1"/>
      <w:jc w:val="center"/>
    </w:pPr>
    <w:rPr>
      <w:rFonts w:ascii="Arial Unicode MS" w:hAnsi="Arial Unicode MS" w:eastAsia="Arial Unicode MS" w:cs="Arial Unicode MS"/>
      <w:kern w:val="0"/>
      <w:sz w:val="22"/>
      <w:szCs w:val="22"/>
    </w:rPr>
  </w:style>
  <w:style w:type="paragraph" w:customStyle="1" w:styleId="230">
    <w:name w:val="p15"/>
    <w:basedOn w:val="1"/>
    <w:qFormat/>
    <w:uiPriority w:val="0"/>
    <w:pPr>
      <w:widowControl/>
    </w:pPr>
    <w:rPr>
      <w:rFonts w:ascii="宋体" w:hAnsi="宋体" w:cs="宋体"/>
      <w:kern w:val="0"/>
      <w:szCs w:val="21"/>
    </w:rPr>
  </w:style>
  <w:style w:type="character" w:customStyle="1" w:styleId="231">
    <w:name w:val="尾注文本 字符1"/>
    <w:basedOn w:val="42"/>
    <w:semiHidden/>
    <w:qFormat/>
    <w:uiPriority w:val="99"/>
    <w:rPr>
      <w:rFonts w:ascii="Times New Roman" w:hAnsi="Times New Roman" w:eastAsia="宋体" w:cs="Times New Roman"/>
      <w:szCs w:val="24"/>
    </w:rPr>
  </w:style>
  <w:style w:type="paragraph" w:customStyle="1" w:styleId="232">
    <w:name w:val="_Style 6"/>
    <w:basedOn w:val="1"/>
    <w:qFormat/>
    <w:uiPriority w:val="0"/>
    <w:pPr>
      <w:widowControl/>
      <w:spacing w:after="160" w:line="240" w:lineRule="exact"/>
      <w:jc w:val="left"/>
    </w:pPr>
    <w:rPr>
      <w:rFonts w:ascii="Verdana" w:hAnsi="Verdana"/>
      <w:kern w:val="0"/>
      <w:lang w:eastAsia="en-US"/>
    </w:rPr>
  </w:style>
  <w:style w:type="paragraph" w:customStyle="1" w:styleId="233">
    <w:name w:val="xl36"/>
    <w:basedOn w:val="1"/>
    <w:qFormat/>
    <w:uiPriority w:val="0"/>
    <w:pPr>
      <w:widowControl/>
      <w:spacing w:before="100" w:beforeAutospacing="1" w:after="100" w:afterAutospacing="1"/>
      <w:jc w:val="left"/>
    </w:pPr>
    <w:rPr>
      <w:rFonts w:ascii="Arial Unicode MS" w:hAnsi="Arial Unicode MS" w:eastAsia="Arial Unicode MS" w:cs="Arial Unicode MS"/>
      <w:b/>
      <w:bCs/>
      <w:kern w:val="0"/>
      <w:sz w:val="24"/>
    </w:rPr>
  </w:style>
  <w:style w:type="paragraph" w:customStyle="1" w:styleId="234">
    <w:name w:val="表格标题"/>
    <w:basedOn w:val="1"/>
    <w:qFormat/>
    <w:uiPriority w:val="0"/>
    <w:pPr>
      <w:jc w:val="center"/>
    </w:pPr>
    <w:rPr>
      <w:rFonts w:ascii="Arial Narrow" w:hAnsi="Arial Narrow" w:eastAsia="楷体_GB2312"/>
      <w:kern w:val="0"/>
      <w:szCs w:val="20"/>
    </w:rPr>
  </w:style>
  <w:style w:type="paragraph" w:customStyle="1" w:styleId="235">
    <w:name w:val="p16"/>
    <w:basedOn w:val="1"/>
    <w:qFormat/>
    <w:uiPriority w:val="0"/>
    <w:pPr>
      <w:widowControl/>
    </w:pPr>
    <w:rPr>
      <w:rFonts w:ascii="宋体" w:hAnsi="宋体" w:cs="宋体"/>
      <w:kern w:val="0"/>
      <w:sz w:val="24"/>
    </w:rPr>
  </w:style>
  <w:style w:type="paragraph" w:customStyle="1" w:styleId="236">
    <w:name w:val="表格文字"/>
    <w:basedOn w:val="1"/>
    <w:qFormat/>
    <w:uiPriority w:val="0"/>
    <w:pPr>
      <w:adjustRightInd w:val="0"/>
      <w:snapToGrid w:val="0"/>
      <w:spacing w:before="62" w:beforeLines="20" w:line="360" w:lineRule="auto"/>
      <w:ind w:left="-51" w:leftChars="-51" w:hanging="107" w:hangingChars="51"/>
      <w:jc w:val="center"/>
    </w:pPr>
    <w:rPr>
      <w:color w:val="000000"/>
    </w:rPr>
  </w:style>
  <w:style w:type="paragraph" w:customStyle="1" w:styleId="237">
    <w:name w:val="p20"/>
    <w:basedOn w:val="1"/>
    <w:qFormat/>
    <w:uiPriority w:val="0"/>
    <w:pPr>
      <w:widowControl/>
      <w:jc w:val="left"/>
    </w:pPr>
    <w:rPr>
      <w:kern w:val="0"/>
      <w:szCs w:val="21"/>
    </w:rPr>
  </w:style>
  <w:style w:type="paragraph" w:customStyle="1" w:styleId="238">
    <w:name w:val="目录"/>
    <w:basedOn w:val="1"/>
    <w:qFormat/>
    <w:uiPriority w:val="0"/>
    <w:pPr>
      <w:widowControl/>
      <w:jc w:val="center"/>
    </w:pPr>
    <w:rPr>
      <w:rFonts w:ascii="宋体"/>
      <w:b/>
      <w:kern w:val="0"/>
      <w:sz w:val="36"/>
      <w:szCs w:val="20"/>
    </w:rPr>
  </w:style>
  <w:style w:type="paragraph" w:customStyle="1" w:styleId="239">
    <w:name w:val="xl28"/>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customStyle="1" w:styleId="240">
    <w:name w:val="xl29"/>
    <w:basedOn w:val="1"/>
    <w:qFormat/>
    <w:uiPriority w:val="0"/>
    <w:pPr>
      <w:widowControl/>
      <w:spacing w:before="100" w:beforeAutospacing="1" w:after="100" w:afterAutospacing="1"/>
      <w:jc w:val="center"/>
    </w:pPr>
    <w:rPr>
      <w:rFonts w:ascii="Arial Unicode MS" w:hAnsi="Arial Unicode MS" w:eastAsia="Arial Unicode MS" w:cs="Arial Unicode MS"/>
      <w:kern w:val="0"/>
      <w:szCs w:val="21"/>
    </w:rPr>
  </w:style>
  <w:style w:type="paragraph" w:customStyle="1" w:styleId="241">
    <w:name w:val="列表 21"/>
    <w:basedOn w:val="1"/>
    <w:qFormat/>
    <w:uiPriority w:val="0"/>
    <w:pPr>
      <w:ind w:left="100" w:hanging="200"/>
    </w:pPr>
    <w:rPr>
      <w:szCs w:val="20"/>
    </w:rPr>
  </w:style>
  <w:style w:type="paragraph" w:customStyle="1" w:styleId="242">
    <w:name w:val="样式 (西文) 黑体 (中文) 黑体 四号 加粗 首行缩进:  2 字符"/>
    <w:basedOn w:val="1"/>
    <w:next w:val="34"/>
    <w:qFormat/>
    <w:uiPriority w:val="0"/>
    <w:pPr>
      <w:ind w:firstLine="562" w:firstLineChars="200"/>
    </w:pPr>
    <w:rPr>
      <w:rFonts w:ascii="黑体" w:eastAsia="黑体"/>
      <w:b/>
      <w:bCs/>
      <w:sz w:val="28"/>
      <w:szCs w:val="20"/>
    </w:rPr>
  </w:style>
  <w:style w:type="paragraph" w:styleId="243">
    <w:name w:val="List Paragraph"/>
    <w:basedOn w:val="1"/>
    <w:qFormat/>
    <w:uiPriority w:val="0"/>
    <w:pPr>
      <w:ind w:firstLine="420" w:firstLineChars="200"/>
    </w:pPr>
  </w:style>
  <w:style w:type="paragraph" w:customStyle="1" w:styleId="24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245">
    <w:name w:val="Char2"/>
    <w:basedOn w:val="1"/>
    <w:qFormat/>
    <w:uiPriority w:val="0"/>
    <w:pPr>
      <w:spacing w:line="360" w:lineRule="auto"/>
      <w:ind w:firstLine="200" w:firstLineChars="200"/>
    </w:pPr>
    <w:rPr>
      <w:rFonts w:ascii="宋体" w:hAnsi="宋体" w:cs="宋体"/>
      <w:sz w:val="24"/>
    </w:rPr>
  </w:style>
  <w:style w:type="paragraph" w:customStyle="1" w:styleId="246">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247">
    <w:name w:val="font9"/>
    <w:basedOn w:val="1"/>
    <w:qFormat/>
    <w:uiPriority w:val="0"/>
    <w:pPr>
      <w:widowControl/>
      <w:spacing w:before="100" w:beforeAutospacing="1" w:after="100" w:afterAutospacing="1"/>
      <w:jc w:val="left"/>
    </w:pPr>
    <w:rPr>
      <w:rFonts w:eastAsia="Arial Unicode MS"/>
      <w:kern w:val="0"/>
      <w:sz w:val="24"/>
    </w:rPr>
  </w:style>
  <w:style w:type="paragraph" w:customStyle="1" w:styleId="248">
    <w:name w:val="p0"/>
    <w:basedOn w:val="1"/>
    <w:qFormat/>
    <w:uiPriority w:val="0"/>
    <w:pPr>
      <w:widowControl/>
    </w:pPr>
    <w:rPr>
      <w:kern w:val="0"/>
      <w:szCs w:val="21"/>
    </w:rPr>
  </w:style>
  <w:style w:type="paragraph" w:customStyle="1" w:styleId="249">
    <w:name w:val="镭1"/>
    <w:basedOn w:val="3"/>
    <w:qFormat/>
    <w:uiPriority w:val="0"/>
    <w:pPr>
      <w:spacing w:line="480" w:lineRule="exact"/>
      <w:jc w:val="center"/>
    </w:pPr>
    <w:rPr>
      <w:rFonts w:ascii="楷体_GB2312" w:eastAsia="楷体_GB2312"/>
      <w:sz w:val="36"/>
    </w:rPr>
  </w:style>
  <w:style w:type="paragraph" w:customStyle="1" w:styleId="250">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99CCFF"/>
      <w:spacing w:before="100" w:beforeAutospacing="1" w:after="100" w:afterAutospacing="1"/>
      <w:jc w:val="center"/>
      <w:textAlignment w:val="center"/>
    </w:pPr>
    <w:rPr>
      <w:rFonts w:ascii="Arial Unicode MS" w:hAnsi="Arial Unicode MS" w:eastAsia="Arial Unicode MS" w:cs="Arial Unicode MS"/>
      <w:kern w:val="0"/>
      <w:sz w:val="22"/>
      <w:szCs w:val="22"/>
    </w:rPr>
  </w:style>
  <w:style w:type="paragraph" w:customStyle="1" w:styleId="251">
    <w:name w:val="xl32"/>
    <w:basedOn w:val="1"/>
    <w:qFormat/>
    <w:uiPriority w:val="0"/>
    <w:pPr>
      <w:widowControl/>
      <w:spacing w:before="100" w:beforeAutospacing="1" w:after="100" w:afterAutospacing="1"/>
      <w:jc w:val="left"/>
    </w:pPr>
    <w:rPr>
      <w:rFonts w:eastAsia="Arial Unicode MS"/>
      <w:b/>
      <w:bCs/>
      <w:kern w:val="0"/>
      <w:sz w:val="24"/>
    </w:rPr>
  </w:style>
  <w:style w:type="paragraph" w:customStyle="1" w:styleId="252">
    <w:name w:val="xl26"/>
    <w:basedOn w:val="1"/>
    <w:qFormat/>
    <w:uiPriority w:val="0"/>
    <w:pPr>
      <w:widowControl/>
      <w:spacing w:before="100" w:beforeAutospacing="1" w:after="100" w:afterAutospacing="1"/>
      <w:jc w:val="center"/>
    </w:pPr>
    <w:rPr>
      <w:rFonts w:ascii="Arial Unicode MS" w:hAnsi="Arial Unicode MS" w:eastAsia="Arial Unicode MS" w:cs="Arial Unicode MS"/>
      <w:kern w:val="0"/>
      <w:sz w:val="24"/>
    </w:rPr>
  </w:style>
  <w:style w:type="paragraph" w:customStyle="1" w:styleId="253">
    <w:name w:val="xl37"/>
    <w:basedOn w:val="1"/>
    <w:uiPriority w:val="0"/>
    <w:pPr>
      <w:widowControl/>
      <w:pBdr>
        <w:bottom w:val="single" w:color="auto" w:sz="4" w:space="0"/>
        <w:right w:val="single" w:color="auto" w:sz="4" w:space="0"/>
      </w:pBdr>
      <w:spacing w:before="100" w:beforeAutospacing="1" w:after="100" w:afterAutospacing="1"/>
    </w:pPr>
    <w:rPr>
      <w:rFonts w:ascii="宋体" w:hAnsi="宋体" w:eastAsia="仿宋_GB2312"/>
      <w:kern w:val="0"/>
      <w:sz w:val="24"/>
      <w:szCs w:val="21"/>
    </w:rPr>
  </w:style>
  <w:style w:type="paragraph" w:customStyle="1" w:styleId="254">
    <w:name w:val="Char Char Char Char Char Char Char Char Char Char Char Char Char Char Char Char"/>
    <w:basedOn w:val="3"/>
    <w:uiPriority w:val="0"/>
    <w:pPr>
      <w:keepLines w:val="0"/>
      <w:tabs>
        <w:tab w:val="left" w:pos="1220"/>
      </w:tabs>
      <w:autoSpaceDE w:val="0"/>
      <w:autoSpaceDN w:val="0"/>
      <w:adjustRightInd w:val="0"/>
      <w:spacing w:before="0" w:after="0" w:line="360" w:lineRule="auto"/>
      <w:ind w:left="1220" w:hanging="720"/>
      <w:jc w:val="center"/>
    </w:pPr>
    <w:rPr>
      <w:rFonts w:ascii="宋体" w:hAnsi="宋体" w:eastAsia="黑体" w:cs="宋体"/>
      <w:kern w:val="0"/>
      <w:sz w:val="28"/>
      <w:szCs w:val="21"/>
    </w:rPr>
  </w:style>
  <w:style w:type="paragraph" w:customStyle="1" w:styleId="255">
    <w:name w:val="xl48"/>
    <w:basedOn w:val="1"/>
    <w:qFormat/>
    <w:uiPriority w:val="0"/>
    <w:pPr>
      <w:widowControl/>
      <w:pBdr>
        <w:left w:val="single" w:color="auto" w:sz="4" w:space="0"/>
        <w:bottom w:val="single" w:color="auto" w:sz="4" w:space="0"/>
        <w:right w:val="single" w:color="auto" w:sz="4" w:space="0"/>
      </w:pBdr>
      <w:spacing w:before="100" w:beforeAutospacing="1" w:after="100" w:afterAutospacing="1"/>
    </w:pPr>
    <w:rPr>
      <w:rFonts w:ascii="宋体" w:hAnsi="宋体"/>
      <w:color w:val="000000"/>
      <w:kern w:val="0"/>
      <w:sz w:val="20"/>
      <w:szCs w:val="20"/>
    </w:rPr>
  </w:style>
  <w:style w:type="paragraph" w:customStyle="1" w:styleId="256">
    <w:name w:val="font11"/>
    <w:basedOn w:val="1"/>
    <w:qFormat/>
    <w:uiPriority w:val="0"/>
    <w:pPr>
      <w:widowControl/>
      <w:spacing w:before="100" w:beforeAutospacing="1" w:after="100" w:afterAutospacing="1"/>
      <w:jc w:val="left"/>
    </w:pPr>
    <w:rPr>
      <w:rFonts w:eastAsia="Arial Unicode MS"/>
      <w:color w:val="FF0000"/>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11029</Words>
  <Characters>11843</Characters>
  <Lines>89</Lines>
  <Paragraphs>25</Paragraphs>
  <TotalTime>0</TotalTime>
  <ScaleCrop>false</ScaleCrop>
  <LinksUpToDate>false</LinksUpToDate>
  <CharactersWithSpaces>11957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2022-08-29T05:19:00Z</dcterms:created>
  <dc:creator> </dc:creator>
  <cp:lastModifiedBy>仵晓煜</cp:lastModifiedBy>
  <dcterms:modified xsi:type="dcterms:W3CDTF">2022-10-25T00:03:29Z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024E9D9796EB4DEF9F93883858256790</vt:lpwstr>
  </property>
</Properties>
</file>