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b/>
          <w:sz w:val="28"/>
          <w:szCs w:val="28"/>
          <w:lang w:val="en-US" w:eastAsia="zh-CN"/>
        </w:rPr>
      </w:pPr>
      <w:bookmarkStart w:id="0" w:name="_Toc341690010"/>
      <w:bookmarkStart w:id="1" w:name="_Toc341692445"/>
      <w:bookmarkStart w:id="2" w:name="_Toc388528140"/>
      <w:bookmarkStart w:id="3" w:name="_Toc341692568"/>
      <w:r>
        <w:rPr>
          <w:rFonts w:hint="eastAsia" w:ascii="黑体" w:hAnsi="黑体" w:eastAsia="黑体" w:cs="黑体"/>
          <w:b/>
          <w:sz w:val="28"/>
          <w:szCs w:val="28"/>
          <w:lang w:val="en-US" w:eastAsia="zh-CN"/>
        </w:rPr>
        <w:t>附件1：</w:t>
      </w:r>
    </w:p>
    <w:p>
      <w:pPr>
        <w:keepNext w:val="0"/>
        <w:keepLines w:val="0"/>
        <w:pageBreakBefore w:val="0"/>
        <w:widowControl w:val="0"/>
        <w:kinsoku/>
        <w:wordWrap/>
        <w:overflowPunct/>
        <w:topLinePunct w:val="0"/>
        <w:autoSpaceDE/>
        <w:autoSpaceDN/>
        <w:bidi w:val="0"/>
        <w:adjustRightInd/>
        <w:snapToGrid/>
        <w:spacing w:before="0" w:beforeLines="50"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b/>
          <w:sz w:val="32"/>
          <w:szCs w:val="32"/>
          <w:lang w:val="en-US" w:eastAsia="zh-CN"/>
        </w:rPr>
      </w:pPr>
      <w:r>
        <w:rPr>
          <w:rFonts w:hint="eastAsia" w:ascii="方正小标宋简体" w:hAnsi="方正小标宋简体" w:eastAsia="方正小标宋简体" w:cs="方正小标宋简体"/>
          <w:b/>
          <w:sz w:val="32"/>
          <w:szCs w:val="32"/>
          <w:lang w:val="en-US" w:eastAsia="zh-CN"/>
        </w:rPr>
        <w:t>西安至兴平</w:t>
      </w:r>
      <w:r>
        <w:rPr>
          <w:rFonts w:hint="eastAsia" w:ascii="方正小标宋简体" w:hAnsi="方正小标宋简体" w:eastAsia="方正小标宋简体" w:cs="方正小标宋简体"/>
          <w:b/>
          <w:sz w:val="32"/>
          <w:szCs w:val="32"/>
        </w:rPr>
        <w:t>高速公路</w:t>
      </w:r>
      <w:r>
        <w:rPr>
          <w:rFonts w:hint="eastAsia" w:ascii="方正小标宋简体" w:hAnsi="方正小标宋简体" w:eastAsia="方正小标宋简体" w:cs="方正小标宋简体"/>
          <w:b/>
          <w:sz w:val="32"/>
          <w:szCs w:val="32"/>
          <w:lang w:val="en-US" w:eastAsia="zh-CN"/>
        </w:rPr>
        <w:t>改扩建</w:t>
      </w:r>
      <w:r>
        <w:rPr>
          <w:rFonts w:hint="eastAsia" w:ascii="方正小标宋简体" w:hAnsi="方正小标宋简体" w:eastAsia="方正小标宋简体" w:cs="方正小标宋简体"/>
          <w:b/>
          <w:sz w:val="32"/>
          <w:szCs w:val="32"/>
        </w:rPr>
        <w:t>工程</w:t>
      </w:r>
      <w:r>
        <w:rPr>
          <w:rFonts w:hint="eastAsia" w:ascii="方正小标宋简体" w:hAnsi="方正小标宋简体" w:eastAsia="方正小标宋简体" w:cs="方正小标宋简体"/>
          <w:b/>
          <w:sz w:val="32"/>
          <w:szCs w:val="32"/>
          <w:lang w:val="en-US" w:eastAsia="zh-CN"/>
        </w:rPr>
        <w:t>设计施工总承包</w:t>
      </w:r>
    </w:p>
    <w:p>
      <w:pPr>
        <w:keepNext w:val="0"/>
        <w:keepLines w:val="0"/>
        <w:pageBreakBefore w:val="0"/>
        <w:widowControl w:val="0"/>
        <w:kinsoku/>
        <w:wordWrap/>
        <w:overflowPunct/>
        <w:topLinePunct w:val="0"/>
        <w:autoSpaceDE/>
        <w:autoSpaceDN/>
        <w:bidi w:val="0"/>
        <w:adjustRightInd/>
        <w:snapToGrid/>
        <w:spacing w:before="0" w:beforeLines="50"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b/>
          <w:sz w:val="32"/>
          <w:szCs w:val="32"/>
        </w:rPr>
        <w:t>招标文件关键内容公示</w:t>
      </w:r>
    </w:p>
    <w:p>
      <w:pPr>
        <w:tabs>
          <w:tab w:val="left" w:pos="1778"/>
        </w:tabs>
        <w:spacing w:line="360" w:lineRule="auto"/>
        <w:ind w:firstLine="562" w:firstLineChars="200"/>
        <w:outlineLvl w:val="1"/>
        <w:rPr>
          <w:rFonts w:hint="eastAsia" w:ascii="仿宋" w:hAnsi="仿宋" w:eastAsia="仿宋" w:cs="仿宋"/>
          <w:b/>
          <w:sz w:val="28"/>
          <w:szCs w:val="28"/>
        </w:rPr>
      </w:pPr>
      <w:r>
        <w:rPr>
          <w:rFonts w:hint="eastAsia" w:ascii="仿宋" w:hAnsi="仿宋" w:eastAsia="仿宋" w:cs="仿宋"/>
          <w:b/>
          <w:sz w:val="28"/>
          <w:szCs w:val="28"/>
        </w:rPr>
        <w:t>一、项目概况</w:t>
      </w:r>
    </w:p>
    <w:p>
      <w:pPr>
        <w:tabs>
          <w:tab w:val="left" w:pos="1778"/>
        </w:tabs>
        <w:spacing w:before="50" w:line="360" w:lineRule="auto"/>
        <w:ind w:firstLine="560" w:firstLineChars="200"/>
        <w:contextualSpacing/>
        <w:rPr>
          <w:rFonts w:hint="eastAsia" w:ascii="仿宋" w:hAnsi="仿宋" w:eastAsia="仿宋" w:cs="仿宋"/>
          <w:sz w:val="28"/>
          <w:szCs w:val="28"/>
        </w:rPr>
      </w:pPr>
      <w:r>
        <w:rPr>
          <w:rFonts w:hint="eastAsia" w:ascii="仿宋" w:hAnsi="仿宋" w:eastAsia="仿宋" w:cs="仿宋"/>
          <w:sz w:val="28"/>
          <w:szCs w:val="28"/>
        </w:rPr>
        <w:t>西安至兴平高速公路是连接西安绕城与连霍高速（G30）的重要通道，承担西安车辆进出咸阳市区、及西安北部车辆向西过境咸阳的交通运输功能。实施本项目对有效改善区域的交通运输条件，增强西安作为国家中心城市的辐射能力，加快交通提质增效升级，拉动沿线区域经济加快发展，推动关中平原城市群、西咸一体化的进程具有重大意义。项目起点路线起于三桥收费站东侧，与城市道路相接，向西沿既有道路改扩建，经西咸新区沣东新城、沣西新城、咸阳市秦都区、高新区、兴平市，止于西吴枢纽立交，与G30连霍高速公路相接，路线全长24.443公里。</w:t>
      </w:r>
    </w:p>
    <w:p>
      <w:pPr>
        <w:tabs>
          <w:tab w:val="left" w:pos="1778"/>
        </w:tabs>
        <w:spacing w:line="360" w:lineRule="auto"/>
        <w:ind w:firstLine="562" w:firstLineChars="200"/>
        <w:outlineLvl w:val="1"/>
        <w:rPr>
          <w:rFonts w:hint="eastAsia" w:ascii="仿宋" w:hAnsi="仿宋" w:eastAsia="仿宋" w:cs="仿宋"/>
          <w:b/>
          <w:sz w:val="28"/>
          <w:szCs w:val="28"/>
        </w:rPr>
      </w:pPr>
      <w:r>
        <w:rPr>
          <w:rFonts w:hint="eastAsia" w:ascii="仿宋" w:hAnsi="仿宋" w:eastAsia="仿宋" w:cs="仿宋"/>
          <w:b/>
          <w:sz w:val="28"/>
          <w:szCs w:val="28"/>
        </w:rPr>
        <w:t>二、投标人资格要求</w:t>
      </w:r>
    </w:p>
    <w:p>
      <w:pPr>
        <w:spacing w:line="360" w:lineRule="auto"/>
        <w:ind w:firstLine="560" w:firstLineChars="20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.资格审查条件</w:t>
      </w:r>
    </w:p>
    <w:p>
      <w:pPr>
        <w:tabs>
          <w:tab w:val="left" w:pos="1778"/>
        </w:tabs>
        <w:spacing w:before="50" w:line="360" w:lineRule="auto"/>
        <w:ind w:firstLine="560" w:firstLineChars="200"/>
        <w:contextualSpacing/>
        <w:rPr>
          <w:rFonts w:hint="eastAsia" w:ascii="仿宋" w:hAnsi="仿宋" w:eastAsia="仿宋" w:cs="仿宋"/>
          <w:sz w:val="28"/>
          <w:szCs w:val="28"/>
        </w:rPr>
      </w:pPr>
      <w:r>
        <w:rPr>
          <w:rFonts w:hint="eastAsia" w:ascii="仿宋" w:hAnsi="仿宋" w:eastAsia="仿宋" w:cs="仿宋"/>
          <w:sz w:val="28"/>
          <w:szCs w:val="28"/>
        </w:rPr>
        <w:t>本次招标要求投标人满足下列各项资格审查条件，并在人员、设备、资金等方面具有相应的能力。</w:t>
      </w:r>
    </w:p>
    <w:p>
      <w:pPr>
        <w:tabs>
          <w:tab w:val="left" w:pos="1778"/>
        </w:tabs>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（1）资质最低要求</w:t>
      </w:r>
    </w:p>
    <w:tbl>
      <w:tblPr>
        <w:tblStyle w:val="8"/>
        <w:tblW w:w="92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5"/>
        <w:gridCol w:w="8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05" w:type="dxa"/>
            <w:vAlign w:val="center"/>
          </w:tcPr>
          <w:p>
            <w:pPr>
              <w:keepNext w:val="0"/>
              <w:keepLines w:val="0"/>
              <w:suppressLineNumbers w:val="0"/>
              <w:tabs>
                <w:tab w:val="left" w:pos="1778"/>
              </w:tabs>
              <w:spacing w:before="0" w:beforeAutospacing="0" w:after="0" w:afterAutospacing="0"/>
              <w:ind w:left="0" w:right="0"/>
              <w:jc w:val="center"/>
              <w:rPr>
                <w:rFonts w:hint="default" w:ascii="仿宋" w:hAnsi="仿宋" w:eastAsia="仿宋" w:cs="仿宋"/>
                <w:b/>
                <w:sz w:val="24"/>
                <w:lang w:val="en-US" w:eastAsia="zh-CN"/>
              </w:rPr>
            </w:pPr>
            <w:bookmarkStart w:id="4" w:name="_Toc341690046"/>
            <w:bookmarkStart w:id="5" w:name="_Toc341692573"/>
            <w:bookmarkStart w:id="6" w:name="_Toc341690011"/>
            <w:bookmarkStart w:id="7" w:name="_Toc341692450"/>
            <w:r>
              <w:rPr>
                <w:rFonts w:hint="eastAsia" w:ascii="仿宋" w:hAnsi="仿宋" w:eastAsia="仿宋" w:cs="仿宋"/>
                <w:b w:val="0"/>
                <w:bCs/>
                <w:sz w:val="24"/>
                <w:lang w:val="en-US" w:eastAsia="zh-CN"/>
              </w:rPr>
              <w:t>XX-01</w:t>
            </w:r>
          </w:p>
        </w:tc>
        <w:tc>
          <w:tcPr>
            <w:tcW w:w="8008" w:type="dxa"/>
            <w:vAlign w:val="center"/>
          </w:tcPr>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一、投标人独立投标的，须满足以下要求：</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1.具有独立法人资格；</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2.具备有效的企业安全生产许可证；</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3.具备工程勘察综合资质甲级；</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lang w:val="en-US"/>
              </w:rPr>
            </w:pPr>
            <w:r>
              <w:rPr>
                <w:rFonts w:hint="eastAsia" w:ascii="仿宋" w:hAnsi="仿宋" w:eastAsia="仿宋" w:cs="仿宋"/>
                <w:b w:val="0"/>
                <w:bCs/>
                <w:sz w:val="24"/>
                <w:lang w:val="en-US" w:eastAsia="zh-CN"/>
              </w:rPr>
              <w:t>4.具备以下（1）、（2）、（3）项设计资质之一：</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lang w:val="en-US"/>
              </w:rPr>
            </w:pPr>
            <w:r>
              <w:rPr>
                <w:rFonts w:hint="eastAsia" w:ascii="仿宋" w:hAnsi="仿宋" w:eastAsia="仿宋" w:cs="仿宋"/>
                <w:b w:val="0"/>
                <w:bCs/>
                <w:sz w:val="24"/>
                <w:lang w:val="en-US" w:eastAsia="zh-CN"/>
              </w:rPr>
              <w:t>（1）具备工程设计综合资质甲级；</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lang w:val="en-US"/>
              </w:rPr>
            </w:pPr>
            <w:r>
              <w:rPr>
                <w:rFonts w:hint="eastAsia" w:ascii="仿宋" w:hAnsi="仿宋" w:eastAsia="仿宋" w:cs="仿宋"/>
                <w:b w:val="0"/>
                <w:bCs/>
                <w:sz w:val="24"/>
                <w:lang w:val="en-US" w:eastAsia="zh-CN"/>
              </w:rPr>
              <w:t>（2）具备公路行业甲级资质，并具有工程设计建筑行业乙级（含）以上资质或工程设计建筑行业（建筑工程）专业乙级（含）以上资质。</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lang w:val="en-US" w:eastAsia="zh-CN"/>
              </w:rPr>
              <w:t>（3）具备公路行业（公路、特大桥梁、交通工程）专业甲级资质，并具有工程设计建筑行业乙级（含）以上资质或工程设计建筑行业（建筑工程）专业乙级（含）以上资质。</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5.具备公路工程施工总承包一级（含）以上资质；</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6.具备桥梁工程专业承包一级资质；</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7.具备公路路面工程专业承包一级资质；</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8.具备公路交通工程（公路安全设施分项）专业承包一级资质；</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9.具备公路交通工程（公路机电工程分项）专业承包一级资质；</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10.具备建筑工程施工总承包二级（含）以上资质；</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11.具备钢结构工程专业承包二级（含）以上资质；</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12.企业法定代表人持有省级交通运输主管部门核发有效的A类安全生产考核合格证及省级建设主管部门核发有效的A类安全生产考核合格证。</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二、投标人以联合体形式投标的</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1.承担施工图勘察设计专业分工的联合体成员，须满足以下要求：</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（1）具有独立法人资格；</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（2）具备工程勘察综合资质甲级；</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（3）具备以下①、②、③项设计资质之一：</w:t>
            </w:r>
          </w:p>
          <w:p>
            <w:pPr>
              <w:keepNext w:val="0"/>
              <w:keepLines w:val="0"/>
              <w:pageBreakBefore w:val="0"/>
              <w:widowControl w:val="0"/>
              <w:suppressLineNumbers w:val="0"/>
              <w:tabs>
                <w:tab w:val="left" w:pos="1778"/>
              </w:tabs>
              <w:kinsoku/>
              <w:wordWrap/>
              <w:overflowPunct/>
              <w:topLinePunct w:val="0"/>
              <w:autoSpaceDE/>
              <w:autoSpaceDN/>
              <w:bidi w:val="0"/>
              <w:adjustRightInd/>
              <w:snapToGrid/>
              <w:spacing w:before="0" w:beforeAutospacing="0" w:after="0" w:afterAutospacing="0"/>
              <w:ind w:left="0" w:right="0" w:firstLine="240" w:firstLineChars="100"/>
              <w:jc w:val="left"/>
              <w:textAlignment w:val="auto"/>
              <w:rPr>
                <w:rFonts w:hint="eastAsia" w:ascii="仿宋" w:hAnsi="仿宋" w:eastAsia="仿宋" w:cs="仿宋"/>
                <w:b w:val="0"/>
                <w:bCs/>
                <w:sz w:val="24"/>
              </w:rPr>
            </w:pPr>
            <w:r>
              <w:rPr>
                <w:rFonts w:hint="eastAsia" w:ascii="仿宋" w:hAnsi="仿宋" w:eastAsia="仿宋" w:cs="仿宋"/>
                <w:b w:val="0"/>
                <w:bCs/>
                <w:sz w:val="24"/>
              </w:rPr>
              <w:t>①具备工程设计综合资质甲级；</w:t>
            </w:r>
          </w:p>
          <w:p>
            <w:pPr>
              <w:keepNext w:val="0"/>
              <w:keepLines w:val="0"/>
              <w:pageBreakBefore w:val="0"/>
              <w:widowControl w:val="0"/>
              <w:suppressLineNumbers w:val="0"/>
              <w:tabs>
                <w:tab w:val="left" w:pos="1778"/>
              </w:tabs>
              <w:kinsoku/>
              <w:wordWrap/>
              <w:overflowPunct/>
              <w:topLinePunct w:val="0"/>
              <w:autoSpaceDE/>
              <w:autoSpaceDN/>
              <w:bidi w:val="0"/>
              <w:adjustRightInd/>
              <w:snapToGrid/>
              <w:spacing w:before="0" w:beforeAutospacing="0" w:after="0" w:afterAutospacing="0"/>
              <w:ind w:left="0" w:right="0" w:firstLine="240" w:firstLineChars="100"/>
              <w:jc w:val="left"/>
              <w:textAlignment w:val="auto"/>
              <w:rPr>
                <w:rFonts w:hint="eastAsia" w:ascii="仿宋" w:hAnsi="仿宋" w:eastAsia="仿宋" w:cs="仿宋"/>
                <w:b w:val="0"/>
                <w:bCs/>
                <w:sz w:val="24"/>
              </w:rPr>
            </w:pPr>
            <w:r>
              <w:rPr>
                <w:rFonts w:hint="eastAsia" w:ascii="仿宋" w:hAnsi="仿宋" w:eastAsia="仿宋" w:cs="仿宋"/>
                <w:b w:val="0"/>
                <w:bCs/>
                <w:sz w:val="24"/>
              </w:rPr>
              <w:t>②具备公路行业甲级资质，并具有工程设计建筑行业乙级（含）以上资质或工程设计建筑行业（建筑工程）专业乙</w:t>
            </w:r>
            <w:bookmarkStart w:id="10" w:name="_GoBack"/>
            <w:bookmarkEnd w:id="10"/>
            <w:r>
              <w:rPr>
                <w:rFonts w:hint="eastAsia" w:ascii="仿宋" w:hAnsi="仿宋" w:eastAsia="仿宋" w:cs="仿宋"/>
                <w:b w:val="0"/>
                <w:bCs/>
                <w:sz w:val="24"/>
              </w:rPr>
              <w:t>级（含）以上资质。</w:t>
            </w:r>
          </w:p>
          <w:p>
            <w:pPr>
              <w:keepNext w:val="0"/>
              <w:keepLines w:val="0"/>
              <w:pageBreakBefore w:val="0"/>
              <w:widowControl w:val="0"/>
              <w:suppressLineNumbers w:val="0"/>
              <w:tabs>
                <w:tab w:val="left" w:pos="1778"/>
              </w:tabs>
              <w:kinsoku/>
              <w:wordWrap/>
              <w:overflowPunct/>
              <w:topLinePunct w:val="0"/>
              <w:autoSpaceDE/>
              <w:autoSpaceDN/>
              <w:bidi w:val="0"/>
              <w:adjustRightInd/>
              <w:snapToGrid/>
              <w:spacing w:before="0" w:beforeAutospacing="0" w:after="0" w:afterAutospacing="0"/>
              <w:ind w:left="0" w:right="0" w:firstLine="240" w:firstLineChars="100"/>
              <w:jc w:val="left"/>
              <w:textAlignment w:val="auto"/>
              <w:rPr>
                <w:rFonts w:hint="eastAsia" w:ascii="仿宋" w:hAnsi="仿宋" w:eastAsia="仿宋" w:cs="仿宋"/>
                <w:b w:val="0"/>
                <w:bCs/>
                <w:sz w:val="24"/>
              </w:rPr>
            </w:pPr>
            <w:r>
              <w:rPr>
                <w:rFonts w:hint="eastAsia" w:ascii="仿宋" w:hAnsi="仿宋" w:eastAsia="仿宋" w:cs="仿宋"/>
                <w:b w:val="0"/>
                <w:bCs/>
                <w:sz w:val="24"/>
              </w:rPr>
              <w:t>③具备公路行业（公路、特大桥梁、交通工程）专业甲级资质，并具有工程设计建筑行业乙级（含）以上资质或工程设计建筑行业（建筑工程）专业乙级（含）以上资质。</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2.承担主体工程施工专业分工的联合体成员，须满足以下要求：</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（1）具有独立法人资格；</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（2）具备有效的企业安全生产许可证；</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（3）具备公路工程施工总承包一级（含）以上资质；</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（4）具备桥梁工程专业承包一级资质；</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（5）具备公路路面工程专业承包一级资质；</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（6）企业法定代表人持有省级交通运输主管部门核发有效的A类安全生产考核合格证。</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3.承担交通安全设施施工专业分工的联合体成员，须满足以下要求：</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（1）具有独立法人资格；</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（2）具备有效的企业安全生产许可证；</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（3）具备公路交通工程（公路安全设施分项）专业承包一级资质；</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（4）企业法定代表人持有省级交通运输主管部门核发有效的A类安全生产考核合格证。</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4.承担机电工程施工专业分工的联合体成员，须满足以下要求：</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（1）具有独立法人资格；</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（2）具备有效的企业安全生产许可证；</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（3）具备公路交通工程（公路机电工程分项）专业承包一级资质；</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（4）企业法定代表人持有省级交通运输主管部门核发有效的A类安全生产考核合格证。</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5.承担房建工程施工专业分工的联合体成员，须满足以下要求：</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（1）具有独立法人资格；</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（2）具备有效的企业安全生产许可证；</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（3）具备建筑工程施工总承包二级（含）以上资质；</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 w:val="24"/>
              </w:rPr>
            </w:pPr>
            <w:r>
              <w:rPr>
                <w:rFonts w:hint="eastAsia" w:ascii="仿宋" w:hAnsi="仿宋" w:eastAsia="仿宋" w:cs="仿宋"/>
                <w:b w:val="0"/>
                <w:bCs/>
                <w:sz w:val="24"/>
              </w:rPr>
              <w:t>（4）具备钢结构工程专业承包二级（含）以上资质；</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sz w:val="24"/>
              </w:rPr>
            </w:pPr>
            <w:r>
              <w:rPr>
                <w:rFonts w:hint="eastAsia" w:ascii="仿宋" w:hAnsi="仿宋" w:eastAsia="仿宋" w:cs="仿宋"/>
                <w:b w:val="0"/>
                <w:bCs/>
                <w:sz w:val="24"/>
              </w:rPr>
              <w:t>（5）企业法定代表人持有省级建设主管部门核发有效的A类安全生产考核合格证。</w:t>
            </w:r>
          </w:p>
        </w:tc>
      </w:tr>
    </w:tbl>
    <w:p>
      <w:pPr>
        <w:pStyle w:val="4"/>
        <w:topLinePunct/>
        <w:spacing w:line="360" w:lineRule="auto"/>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说明：以联合体形式投标的，联合体各成员还须满足下列要求：</w:t>
      </w:r>
    </w:p>
    <w:p>
      <w:pPr>
        <w:pStyle w:val="4"/>
        <w:topLinePunct/>
        <w:spacing w:line="360" w:lineRule="auto"/>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1、一名联合体成员根据所具备的资格条件，承担相应类别的专业分工。联合体所有成员数量不得超过5家，联合体牵头人应为承担施工图勘察设计或主体工程施工专业分工的单位。</w:t>
      </w:r>
    </w:p>
    <w:p>
      <w:pPr>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2、同一专业分工由不同联合体成员共同承担的，按照资质等级较低的单位确定联合体的资质，按照各单位相应业绩之和确定联合体具有的业绩。</w:t>
      </w:r>
    </w:p>
    <w:p>
      <w:pPr>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3、联合体各方不得再以自己的名义单独或参加其他联合体在同一标段中投标。</w:t>
      </w:r>
    </w:p>
    <w:p>
      <w:pPr>
        <w:topLinePunct w:val="0"/>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4、单位负责人为同一人或存在控股、管理关系的不同单位，不得同时独立或组成不同的联合体参加同一标段的投标，否则相关投标均无效。</w:t>
      </w:r>
    </w:p>
    <w:p>
      <w:pPr>
        <w:spacing w:line="240" w:lineRule="auto"/>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5、联合体各方应按规定的格式签订联合体协议书，明确联合体牵头人和各方权利义务，并承诺就中标项目向招标人承担连带责任。</w:t>
      </w:r>
    </w:p>
    <w:p>
      <w:pPr>
        <w:tabs>
          <w:tab w:val="left" w:pos="1778"/>
        </w:tabs>
        <w:spacing w:before="120" w:beforeLines="5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）财务最低要求</w:t>
      </w:r>
    </w:p>
    <w:tbl>
      <w:tblPr>
        <w:tblStyle w:val="8"/>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
        <w:gridCol w:w="6666"/>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1"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标段</w:t>
            </w:r>
          </w:p>
        </w:tc>
        <w:tc>
          <w:tcPr>
            <w:tcW w:w="6666"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财  务  要  求</w:t>
            </w:r>
          </w:p>
        </w:tc>
        <w:tc>
          <w:tcPr>
            <w:tcW w:w="1202"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1" w:type="dxa"/>
            <w:vMerge w:val="restart"/>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XX-01</w:t>
            </w:r>
          </w:p>
        </w:tc>
        <w:tc>
          <w:tcPr>
            <w:tcW w:w="6666"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rPr>
              <w:t>2019年、2020年、2021年每年的企业营业额均不少于6亿元；</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rPr>
              <w:t>2019年、2020年、2021年每年的企业资产负债率均不大于80%。</w:t>
            </w:r>
          </w:p>
        </w:tc>
        <w:tc>
          <w:tcPr>
            <w:tcW w:w="1202"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独立投标人的按照此要求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1" w:type="dxa"/>
            <w:vMerge w:val="continue"/>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p>
        </w:tc>
        <w:tc>
          <w:tcPr>
            <w:tcW w:w="6666"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color w:val="auto"/>
                <w:szCs w:val="21"/>
                <w:highlight w:val="none"/>
              </w:rPr>
            </w:pPr>
            <w:r>
              <w:rPr>
                <w:rFonts w:hint="eastAsia" w:ascii="仿宋" w:hAnsi="仿宋" w:eastAsia="仿宋" w:cs="仿宋"/>
                <w:b w:val="0"/>
                <w:bCs/>
                <w:szCs w:val="21"/>
              </w:rPr>
              <w:t>1.承担勘察设计专业分工联合体成员为</w:t>
            </w:r>
            <w:r>
              <w:rPr>
                <w:rFonts w:hint="eastAsia" w:ascii="仿宋" w:hAnsi="仿宋" w:eastAsia="仿宋" w:cs="仿宋"/>
                <w:b w:val="0"/>
                <w:bCs/>
                <w:color w:val="auto"/>
                <w:szCs w:val="21"/>
                <w:highlight w:val="none"/>
              </w:rPr>
              <w:t>联合体牵头人时，牵头人须满足以下要求：</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color w:val="auto"/>
                <w:szCs w:val="21"/>
                <w:highlight w:val="none"/>
              </w:rPr>
            </w:pPr>
            <w:r>
              <w:rPr>
                <w:rFonts w:hint="eastAsia" w:ascii="仿宋" w:hAnsi="仿宋" w:eastAsia="仿宋" w:cs="仿宋"/>
                <w:b w:val="0"/>
                <w:bCs/>
                <w:color w:val="auto"/>
                <w:szCs w:val="21"/>
                <w:highlight w:val="none"/>
              </w:rPr>
              <w:t>（1）2019年、2020年、2021年每年的企业营业额均不小于1亿元；</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color w:val="auto"/>
                <w:szCs w:val="21"/>
                <w:highlight w:val="none"/>
              </w:rPr>
            </w:pPr>
            <w:r>
              <w:rPr>
                <w:rFonts w:hint="eastAsia" w:ascii="仿宋" w:hAnsi="仿宋" w:eastAsia="仿宋" w:cs="仿宋"/>
                <w:b w:val="0"/>
                <w:bCs/>
                <w:color w:val="auto"/>
                <w:szCs w:val="21"/>
                <w:highlight w:val="none"/>
              </w:rPr>
              <w:t>（2）2019年、2020年、2021年每年的企业资产负债率均不大于80%。</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color w:val="auto"/>
                <w:szCs w:val="21"/>
                <w:highlight w:val="none"/>
              </w:rPr>
              <w:t>2.承担主体工程施工专业分工联合体成员为联合体牵头人时，</w:t>
            </w:r>
            <w:r>
              <w:rPr>
                <w:rFonts w:hint="eastAsia" w:ascii="仿宋" w:hAnsi="仿宋" w:eastAsia="仿宋" w:cs="仿宋"/>
                <w:b w:val="0"/>
                <w:bCs/>
                <w:szCs w:val="21"/>
              </w:rPr>
              <w:t>牵头人须满足以下要求：</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rPr>
              <w:t>（1）2019年、2020年、2021年每年的企业营业额均不小于5亿元；</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rPr>
              <w:t>（2）2019年、2020年、2021年每年的企业资产负债率均不大于80%。</w:t>
            </w:r>
          </w:p>
        </w:tc>
        <w:tc>
          <w:tcPr>
            <w:tcW w:w="1202"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以联合体形式投标的按照此要求</w:t>
            </w:r>
          </w:p>
        </w:tc>
      </w:tr>
    </w:tbl>
    <w:p>
      <w:pPr>
        <w:tabs>
          <w:tab w:val="left" w:pos="1778"/>
        </w:tabs>
        <w:spacing w:before="120" w:beforeLines="50" w:line="360" w:lineRule="auto"/>
        <w:ind w:firstLine="560" w:firstLineChars="200"/>
        <w:rPr>
          <w:rFonts w:hint="eastAsia" w:ascii="宋体" w:hAnsi="宋体"/>
          <w:b/>
          <w:color w:val="auto"/>
          <w:sz w:val="24"/>
          <w:highlight w:val="none"/>
        </w:rPr>
      </w:pP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）业绩最低要求</w:t>
      </w:r>
    </w:p>
    <w:tbl>
      <w:tblPr>
        <w:tblStyle w:val="8"/>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1"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标段</w:t>
            </w:r>
          </w:p>
        </w:tc>
        <w:tc>
          <w:tcPr>
            <w:tcW w:w="7937"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业  绩  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2" w:hRule="atLeast"/>
          <w:jc w:val="center"/>
        </w:trPr>
        <w:tc>
          <w:tcPr>
            <w:tcW w:w="1001"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lang w:val="en-US" w:eastAsia="zh-CN"/>
              </w:rPr>
              <w:t>XX-01</w:t>
            </w:r>
          </w:p>
        </w:tc>
        <w:tc>
          <w:tcPr>
            <w:tcW w:w="7937" w:type="dxa"/>
            <w:vAlign w:val="center"/>
          </w:tcPr>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近五年以来：</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1.具有1个已完成的新建或改扩建高速公路项目施工图勘察设计合同段业绩（应同时包括路基桥涵、路面、机电、交通安全设施、房建工程勘察设计工作内容），且路线里程不少于40km。</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2.具有1个已完成的新建或改扩建高速公路工程施工合同段业绩（应同时包括路基桥涵、路面工程内容）；完成过累计长度不少于5km（全幅）的新建或改扩建高速公路桥梁工程施工。</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3.具有1个已完成的新建或改扩建高速公路交通安全设施施工合同段（应同时包括钢板护栏、标志、标线工程施工内容）业绩。</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4.具有1个已完成的高速公路机电工程施工合同段业绩。</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5.具有1个已完成的房屋建筑工程施工项目业绩。</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6.独立投标人或联合体牵头人应具有2个已完成的新建或改扩建高速公路设计施工总承包项目业绩。</w:t>
            </w:r>
          </w:p>
        </w:tc>
      </w:tr>
    </w:tbl>
    <w:p>
      <w:pPr>
        <w:pStyle w:val="4"/>
        <w:topLinePunct/>
        <w:spacing w:line="360" w:lineRule="auto"/>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说明：1.“近五年”指2017年1月1日至投标截止时间，以下相同。</w:t>
      </w:r>
    </w:p>
    <w:p>
      <w:pPr>
        <w:pStyle w:val="4"/>
        <w:topLinePunct/>
        <w:spacing w:line="360" w:lineRule="auto"/>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      2.勘察设计业绩的完成和时间要求以完成施工图批复为准，施工业绩的完成和时间要求以交工验收为准，以下相同。</w:t>
      </w:r>
    </w:p>
    <w:p>
      <w:pPr>
        <w:tabs>
          <w:tab w:val="left" w:pos="1778"/>
        </w:tabs>
        <w:spacing w:before="120" w:beforeLines="50" w:line="360" w:lineRule="auto"/>
        <w:ind w:firstLine="560" w:firstLineChars="200"/>
        <w:rPr>
          <w:rFonts w:hint="eastAsia"/>
        </w:rPr>
      </w:pPr>
      <w:r>
        <w:rPr>
          <w:rFonts w:hint="eastAsia" w:ascii="仿宋" w:hAnsi="仿宋" w:eastAsia="仿宋" w:cs="仿宋"/>
          <w:sz w:val="28"/>
          <w:szCs w:val="28"/>
        </w:rPr>
        <w:t>（4）信誉最低要求</w:t>
      </w:r>
    </w:p>
    <w:tbl>
      <w:tblPr>
        <w:tblStyle w:val="8"/>
        <w:tblW w:w="89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6702"/>
        <w:gridCol w:w="1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6"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标段</w:t>
            </w:r>
          </w:p>
        </w:tc>
        <w:tc>
          <w:tcPr>
            <w:tcW w:w="6702"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信  誉  要  求</w:t>
            </w:r>
          </w:p>
        </w:tc>
        <w:tc>
          <w:tcPr>
            <w:tcW w:w="1391"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856"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lang w:val="en-US" w:eastAsia="zh-CN"/>
              </w:rPr>
              <w:t>XX</w:t>
            </w:r>
            <w:r>
              <w:rPr>
                <w:rFonts w:hint="eastAsia" w:ascii="仿宋" w:hAnsi="仿宋" w:eastAsia="仿宋" w:cs="仿宋"/>
                <w:b w:val="0"/>
                <w:bCs/>
                <w:szCs w:val="21"/>
              </w:rPr>
              <w:t>-01</w:t>
            </w:r>
          </w:p>
        </w:tc>
        <w:tc>
          <w:tcPr>
            <w:tcW w:w="6702" w:type="dxa"/>
            <w:tcBorders>
              <w:tl2br w:val="nil"/>
              <w:tr2bl w:val="nil"/>
            </w:tcBorders>
            <w:vAlign w:val="center"/>
          </w:tcPr>
          <w:p>
            <w:pPr>
              <w:keepNext w:val="0"/>
              <w:keepLines w:val="0"/>
              <w:widowControl w:val="0"/>
              <w:suppressLineNumbers w:val="0"/>
              <w:tabs>
                <w:tab w:val="left" w:pos="1778"/>
              </w:tabs>
              <w:spacing w:before="0" w:beforeAutospacing="0" w:after="0" w:afterAutospacing="0"/>
              <w:ind w:left="0" w:right="0"/>
              <w:jc w:val="left"/>
              <w:rPr>
                <w:rFonts w:hint="eastAsia" w:ascii="仿宋" w:hAnsi="仿宋" w:eastAsia="仿宋" w:cs="仿宋"/>
                <w:bCs/>
                <w:szCs w:val="21"/>
                <w:lang w:val="en-US"/>
              </w:rPr>
            </w:pPr>
            <w:r>
              <w:rPr>
                <w:rFonts w:hint="eastAsia" w:ascii="仿宋" w:hAnsi="仿宋" w:eastAsia="仿宋" w:cs="仿宋"/>
                <w:bCs/>
                <w:kern w:val="2"/>
                <w:sz w:val="21"/>
                <w:szCs w:val="21"/>
                <w:lang w:val="en-US" w:eastAsia="zh-CN" w:bidi="ar"/>
              </w:rPr>
              <w:t>独立投标的投标人或以联合体形式投标的联合体各成员：</w:t>
            </w:r>
          </w:p>
          <w:p>
            <w:pPr>
              <w:keepNext w:val="0"/>
              <w:keepLines w:val="0"/>
              <w:widowControl w:val="0"/>
              <w:suppressLineNumbers w:val="0"/>
              <w:tabs>
                <w:tab w:val="left" w:pos="1778"/>
              </w:tabs>
              <w:spacing w:before="0" w:beforeAutospacing="0" w:after="0" w:afterAutospacing="0"/>
              <w:ind w:left="0" w:right="0"/>
              <w:jc w:val="left"/>
              <w:rPr>
                <w:rFonts w:hint="eastAsia" w:ascii="仿宋" w:hAnsi="仿宋" w:eastAsia="仿宋" w:cs="仿宋"/>
                <w:bCs/>
                <w:szCs w:val="21"/>
                <w:lang w:val="en-US"/>
              </w:rPr>
            </w:pPr>
            <w:r>
              <w:rPr>
                <w:rFonts w:hint="eastAsia" w:ascii="仿宋" w:hAnsi="仿宋" w:eastAsia="仿宋" w:cs="仿宋"/>
                <w:bCs/>
                <w:kern w:val="2"/>
                <w:sz w:val="21"/>
                <w:szCs w:val="21"/>
                <w:lang w:val="en-US" w:eastAsia="zh-CN" w:bidi="ar"/>
              </w:rPr>
              <w:t>1.未被交通运输部或陕西省交通运输厅列为信用评价等级D级且处于有效期内。</w:t>
            </w:r>
          </w:p>
          <w:p>
            <w:pPr>
              <w:keepNext w:val="0"/>
              <w:keepLines w:val="0"/>
              <w:widowControl w:val="0"/>
              <w:suppressLineNumbers w:val="0"/>
              <w:tabs>
                <w:tab w:val="left" w:pos="1778"/>
              </w:tabs>
              <w:spacing w:before="0" w:beforeAutospacing="0" w:after="0" w:afterAutospacing="0"/>
              <w:ind w:left="0" w:right="0"/>
              <w:jc w:val="left"/>
              <w:rPr>
                <w:rFonts w:hint="eastAsia" w:ascii="仿宋" w:hAnsi="仿宋" w:eastAsia="仿宋" w:cs="仿宋"/>
                <w:bCs/>
                <w:szCs w:val="21"/>
                <w:lang w:val="en-US"/>
              </w:rPr>
            </w:pPr>
            <w:r>
              <w:rPr>
                <w:rFonts w:hint="eastAsia" w:ascii="仿宋" w:hAnsi="仿宋" w:eastAsia="仿宋" w:cs="仿宋"/>
                <w:bCs/>
                <w:kern w:val="2"/>
                <w:sz w:val="21"/>
                <w:szCs w:val="21"/>
                <w:lang w:val="en-US" w:eastAsia="zh-CN" w:bidi="ar"/>
              </w:rPr>
              <w:t>2.未被省级及以上交通运输主管部门取消招标项目所在地的投标资格且处于有效期内；</w:t>
            </w:r>
          </w:p>
          <w:p>
            <w:pPr>
              <w:keepNext w:val="0"/>
              <w:keepLines w:val="0"/>
              <w:widowControl w:val="0"/>
              <w:suppressLineNumbers w:val="0"/>
              <w:tabs>
                <w:tab w:val="left" w:pos="1778"/>
              </w:tabs>
              <w:spacing w:before="0" w:beforeAutospacing="0" w:after="0" w:afterAutospacing="0"/>
              <w:ind w:left="0" w:right="0"/>
              <w:jc w:val="left"/>
              <w:rPr>
                <w:rFonts w:hint="eastAsia" w:ascii="仿宋" w:hAnsi="仿宋" w:eastAsia="仿宋" w:cs="仿宋"/>
                <w:bCs/>
                <w:szCs w:val="21"/>
                <w:lang w:val="en-US"/>
              </w:rPr>
            </w:pPr>
            <w:r>
              <w:rPr>
                <w:rFonts w:hint="eastAsia" w:ascii="仿宋" w:hAnsi="仿宋" w:eastAsia="仿宋" w:cs="仿宋"/>
                <w:bCs/>
                <w:kern w:val="2"/>
                <w:sz w:val="21"/>
                <w:szCs w:val="21"/>
                <w:lang w:val="en-US" w:eastAsia="zh-CN" w:bidi="ar"/>
              </w:rPr>
              <w:t>3.未被责令停业，暂扣或吊销执照，或吊销资质证书；</w:t>
            </w:r>
          </w:p>
          <w:p>
            <w:pPr>
              <w:keepNext w:val="0"/>
              <w:keepLines w:val="0"/>
              <w:widowControl w:val="0"/>
              <w:suppressLineNumbers w:val="0"/>
              <w:tabs>
                <w:tab w:val="left" w:pos="1778"/>
              </w:tabs>
              <w:spacing w:before="0" w:beforeAutospacing="0" w:after="0" w:afterAutospacing="0"/>
              <w:ind w:left="0" w:right="0"/>
              <w:jc w:val="left"/>
              <w:rPr>
                <w:rFonts w:hint="eastAsia" w:ascii="仿宋" w:hAnsi="仿宋" w:eastAsia="仿宋" w:cs="仿宋"/>
                <w:bCs/>
                <w:szCs w:val="21"/>
                <w:lang w:val="en-US"/>
              </w:rPr>
            </w:pPr>
            <w:r>
              <w:rPr>
                <w:rFonts w:hint="eastAsia" w:ascii="仿宋" w:hAnsi="仿宋" w:eastAsia="仿宋" w:cs="仿宋"/>
                <w:bCs/>
                <w:kern w:val="2"/>
                <w:sz w:val="21"/>
                <w:szCs w:val="21"/>
                <w:lang w:val="en-US" w:eastAsia="zh-CN" w:bidi="ar"/>
              </w:rPr>
              <w:t>4.未进入清算程序，或被宣告破产，或其他丧失履约能力的情形；</w:t>
            </w:r>
          </w:p>
          <w:p>
            <w:pPr>
              <w:keepNext w:val="0"/>
              <w:keepLines w:val="0"/>
              <w:widowControl w:val="0"/>
              <w:suppressLineNumbers w:val="0"/>
              <w:tabs>
                <w:tab w:val="left" w:pos="1778"/>
              </w:tabs>
              <w:spacing w:before="0" w:beforeAutospacing="0" w:after="0" w:afterAutospacing="0"/>
              <w:ind w:left="0" w:right="0"/>
              <w:jc w:val="left"/>
              <w:rPr>
                <w:rFonts w:hint="eastAsia" w:ascii="仿宋" w:hAnsi="仿宋" w:eastAsia="仿宋" w:cs="仿宋"/>
                <w:bCs/>
                <w:szCs w:val="21"/>
                <w:lang w:val="en-US"/>
              </w:rPr>
            </w:pPr>
            <w:r>
              <w:rPr>
                <w:rFonts w:hint="eastAsia" w:ascii="仿宋" w:hAnsi="仿宋" w:eastAsia="仿宋" w:cs="仿宋"/>
                <w:bCs/>
                <w:kern w:val="2"/>
                <w:sz w:val="21"/>
                <w:szCs w:val="21"/>
                <w:lang w:val="en-US" w:eastAsia="zh-CN" w:bidi="ar"/>
              </w:rPr>
              <w:t>5.未在国家企业信用信息公示系统（http://www.gsxt.gov.cn/）中被列入严重违法失信企业名单；</w:t>
            </w:r>
          </w:p>
          <w:p>
            <w:pPr>
              <w:keepNext w:val="0"/>
              <w:keepLines w:val="0"/>
              <w:widowControl w:val="0"/>
              <w:suppressLineNumbers w:val="0"/>
              <w:tabs>
                <w:tab w:val="left" w:pos="1778"/>
              </w:tabs>
              <w:spacing w:before="0" w:beforeAutospacing="0" w:after="0" w:afterAutospacing="0"/>
              <w:ind w:left="0" w:right="0"/>
              <w:jc w:val="left"/>
              <w:rPr>
                <w:rFonts w:hint="eastAsia" w:ascii="仿宋" w:hAnsi="仿宋" w:eastAsia="仿宋" w:cs="仿宋"/>
                <w:bCs/>
                <w:szCs w:val="21"/>
                <w:lang w:val="en-US"/>
              </w:rPr>
            </w:pPr>
            <w:r>
              <w:rPr>
                <w:rFonts w:hint="eastAsia" w:ascii="仿宋" w:hAnsi="仿宋" w:eastAsia="仿宋" w:cs="仿宋"/>
                <w:bCs/>
                <w:kern w:val="2"/>
                <w:sz w:val="21"/>
                <w:szCs w:val="21"/>
                <w:lang w:val="en-US" w:eastAsia="zh-CN" w:bidi="ar"/>
              </w:rPr>
              <w:t>6.未在“信用中国”网站（http://www.creditchina.gov.cn/）中被列入失信被执行人名单；</w:t>
            </w:r>
          </w:p>
          <w:p>
            <w:pPr>
              <w:keepNext w:val="0"/>
              <w:keepLines w:val="0"/>
              <w:widowControl w:val="0"/>
              <w:suppressLineNumbers w:val="0"/>
              <w:tabs>
                <w:tab w:val="left" w:pos="1778"/>
              </w:tabs>
              <w:spacing w:before="0" w:beforeAutospacing="0" w:after="0" w:afterAutospacing="0"/>
              <w:ind w:left="0" w:right="0"/>
              <w:jc w:val="left"/>
              <w:rPr>
                <w:rFonts w:hint="eastAsia" w:ascii="仿宋" w:hAnsi="仿宋" w:eastAsia="仿宋" w:cs="仿宋"/>
                <w:bCs/>
                <w:szCs w:val="21"/>
                <w:lang w:val="en-US"/>
              </w:rPr>
            </w:pPr>
            <w:r>
              <w:rPr>
                <w:rFonts w:hint="eastAsia" w:ascii="仿宋" w:hAnsi="仿宋" w:eastAsia="仿宋" w:cs="仿宋"/>
                <w:bCs/>
                <w:kern w:val="2"/>
                <w:sz w:val="21"/>
                <w:szCs w:val="21"/>
                <w:lang w:val="en-US" w:eastAsia="zh-CN" w:bidi="ar"/>
              </w:rPr>
              <w:t>7.投标人及其法定代表人、项目总负责人、设计负责人、施工项目经理和施工项目总工在近三年（自2019 年 1 月 1 日起）内无行贿犯罪行为（以“中国裁判文书网”中查询结果为准）；</w:t>
            </w:r>
          </w:p>
          <w:p>
            <w:pPr>
              <w:keepNext w:val="0"/>
              <w:keepLines w:val="0"/>
              <w:widowControl/>
              <w:suppressLineNumbers w:val="0"/>
              <w:spacing w:before="0" w:beforeAutospacing="0" w:after="0" w:afterAutospacing="0"/>
              <w:ind w:left="0" w:right="0"/>
              <w:jc w:val="left"/>
              <w:rPr>
                <w:rFonts w:hint="eastAsia" w:ascii="仿宋" w:hAnsi="仿宋" w:eastAsia="仿宋" w:cs="仿宋"/>
                <w:b w:val="0"/>
                <w:bCs/>
                <w:szCs w:val="21"/>
                <w:lang w:eastAsia="en-US"/>
              </w:rPr>
            </w:pPr>
            <w:r>
              <w:rPr>
                <w:rFonts w:hint="eastAsia" w:ascii="仿宋" w:hAnsi="仿宋" w:eastAsia="仿宋" w:cs="仿宋"/>
                <w:bCs/>
                <w:kern w:val="2"/>
                <w:sz w:val="21"/>
                <w:szCs w:val="21"/>
                <w:lang w:val="en-US" w:eastAsia="zh-CN" w:bidi="ar"/>
              </w:rPr>
              <w:t>8.不存在法律法规或投标人须知前附表规定的其他情形</w:t>
            </w:r>
            <w:r>
              <w:rPr>
                <w:rFonts w:hint="eastAsia" w:ascii="仿宋" w:hAnsi="仿宋" w:eastAsia="仿宋" w:cs="仿宋"/>
                <w:b w:val="0"/>
                <w:bCs/>
                <w:szCs w:val="21"/>
              </w:rPr>
              <w:t>。</w:t>
            </w:r>
          </w:p>
        </w:tc>
        <w:tc>
          <w:tcPr>
            <w:tcW w:w="1391"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以联合体形式投标的，联合体各成员单位均按照此要求</w:t>
            </w:r>
          </w:p>
        </w:tc>
      </w:tr>
    </w:tbl>
    <w:p>
      <w:pPr>
        <w:tabs>
          <w:tab w:val="left" w:pos="1778"/>
        </w:tabs>
        <w:spacing w:before="120" w:beforeLines="5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5</w:t>
      </w:r>
      <w:r>
        <w:rPr>
          <w:rFonts w:hint="eastAsia" w:ascii="仿宋" w:hAnsi="仿宋" w:eastAsia="仿宋" w:cs="仿宋"/>
          <w:sz w:val="28"/>
          <w:szCs w:val="28"/>
          <w:lang w:eastAsia="zh-CN"/>
        </w:rPr>
        <w:t>）</w:t>
      </w:r>
      <w:r>
        <w:rPr>
          <w:rFonts w:hint="eastAsia" w:ascii="仿宋" w:hAnsi="仿宋" w:eastAsia="仿宋" w:cs="仿宋"/>
          <w:sz w:val="28"/>
          <w:szCs w:val="28"/>
        </w:rPr>
        <w:t>项目主要管理人员最低要求</w:t>
      </w:r>
    </w:p>
    <w:tbl>
      <w:tblPr>
        <w:tblStyle w:val="8"/>
        <w:tblW w:w="89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644"/>
        <w:gridCol w:w="5571"/>
        <w:gridCol w:w="1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096"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人 员</w:t>
            </w:r>
          </w:p>
        </w:tc>
        <w:tc>
          <w:tcPr>
            <w:tcW w:w="644"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数量</w:t>
            </w:r>
          </w:p>
        </w:tc>
        <w:tc>
          <w:tcPr>
            <w:tcW w:w="5571"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资格要求</w:t>
            </w:r>
          </w:p>
        </w:tc>
        <w:tc>
          <w:tcPr>
            <w:tcW w:w="1597"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8" w:hRule="atLeast"/>
          <w:jc w:val="center"/>
        </w:trPr>
        <w:tc>
          <w:tcPr>
            <w:tcW w:w="1096" w:type="dxa"/>
            <w:vMerge w:val="restart"/>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项目</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总负责人</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p>
        </w:tc>
        <w:tc>
          <w:tcPr>
            <w:tcW w:w="644"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1</w:t>
            </w:r>
          </w:p>
        </w:tc>
        <w:tc>
          <w:tcPr>
            <w:tcW w:w="5571"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rPr>
              <w:t>具有公路工程相关专业高级或以上技术职称；5年或以上公路勘察设计经验；近5年以来，担任过1个新建或改扩建高速公路项目勘察设计合同段项目负责人。</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rPr>
              <w:t>或者：</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rPr>
              <w:t>具有高级或以上技术职称；5年或以上公路工程施工管理经验；持公路工程专业一级注册建造师证书和省级交通运输主管部门核发有效的B类安全生产考核证；近5年以来，担任过1个新建或改扩建高速公路路基桥涵工程施工合同段项目经理。</w:t>
            </w:r>
          </w:p>
        </w:tc>
        <w:tc>
          <w:tcPr>
            <w:tcW w:w="1597"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独立投标的投标人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096" w:type="dxa"/>
            <w:vMerge w:val="continue"/>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p>
        </w:tc>
        <w:tc>
          <w:tcPr>
            <w:tcW w:w="644" w:type="dxa"/>
            <w:vMerge w:val="restart"/>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1</w:t>
            </w:r>
          </w:p>
        </w:tc>
        <w:tc>
          <w:tcPr>
            <w:tcW w:w="5571"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rPr>
              <w:t>具有公路工程相关专业高级或以上技术职称；5年或以上公路勘察设计经验；近5年以来，担任过1个新建或改扩建高速公路项目勘察设计合同段项目负责人。</w:t>
            </w:r>
          </w:p>
        </w:tc>
        <w:tc>
          <w:tcPr>
            <w:tcW w:w="1597"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以联合体形式投标且承担勘察设计专业分工联合体成员为联合体牵头人时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096" w:type="dxa"/>
            <w:vMerge w:val="continue"/>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p>
        </w:tc>
        <w:tc>
          <w:tcPr>
            <w:tcW w:w="644" w:type="dxa"/>
            <w:vMerge w:val="continue"/>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p>
        </w:tc>
        <w:tc>
          <w:tcPr>
            <w:tcW w:w="5571"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rPr>
              <w:t>具有高级或以上技术职称；5年或以上公路工程施工管理经验；持公路工程专业一级注册建造师证书和省级交通运输主管部门核发有效的B类安全生产考核证；近5年以来，担任过1个新建或改扩建高速公路路基桥涵工程施工合同段项目经理。</w:t>
            </w:r>
          </w:p>
        </w:tc>
        <w:tc>
          <w:tcPr>
            <w:tcW w:w="1597"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以联合体形式投标且承担主体工程施工专业分工联合体成员为联合体牵头人时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96"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设计</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eastAsia="zh-CN"/>
              </w:rPr>
            </w:pPr>
            <w:r>
              <w:rPr>
                <w:rFonts w:hint="eastAsia" w:ascii="仿宋" w:hAnsi="仿宋" w:eastAsia="仿宋" w:cs="仿宋"/>
                <w:b w:val="0"/>
                <w:bCs/>
                <w:szCs w:val="21"/>
                <w:lang w:val="en-US" w:eastAsia="zh-CN"/>
              </w:rPr>
              <w:t>负责人</w:t>
            </w:r>
          </w:p>
        </w:tc>
        <w:tc>
          <w:tcPr>
            <w:tcW w:w="644"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1</w:t>
            </w:r>
          </w:p>
        </w:tc>
        <w:tc>
          <w:tcPr>
            <w:tcW w:w="5571"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rPr>
              <w:t>具有公路工程相关专业高级或以上技术职称；5年或以上公路勘察设计经验；近5年以来，担任过1个新建或改扩建高速公路项目勘察设计合同段项目负责人。</w:t>
            </w:r>
          </w:p>
        </w:tc>
        <w:tc>
          <w:tcPr>
            <w:tcW w:w="1597"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96"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施工</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项目经理</w:t>
            </w:r>
          </w:p>
        </w:tc>
        <w:tc>
          <w:tcPr>
            <w:tcW w:w="644"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eastAsia="zh-CN"/>
              </w:rPr>
            </w:pPr>
            <w:r>
              <w:rPr>
                <w:rFonts w:hint="eastAsia" w:ascii="仿宋" w:hAnsi="仿宋" w:eastAsia="仿宋" w:cs="仿宋"/>
                <w:b w:val="0"/>
                <w:bCs/>
                <w:szCs w:val="21"/>
                <w:lang w:val="en-US" w:eastAsia="zh-CN"/>
              </w:rPr>
              <w:t>1</w:t>
            </w:r>
          </w:p>
        </w:tc>
        <w:tc>
          <w:tcPr>
            <w:tcW w:w="5571"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rPr>
              <w:t>具有中级或以上技术职称；5年或以上公路工程施工管理经验；持公路工程专业一级注册建造师证书和省级交通运输主管部门核发有效的B类安全生产考核证；近5年以来，担任过1个新建或改扩建高速公路路路基桥涵工程施工合同段项目经理。</w:t>
            </w:r>
          </w:p>
        </w:tc>
        <w:tc>
          <w:tcPr>
            <w:tcW w:w="1597"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096"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施工</w:t>
            </w:r>
          </w:p>
          <w:p>
            <w:pPr>
              <w:keepNext w:val="0"/>
              <w:keepLines w:val="0"/>
              <w:suppressLineNumbers w:val="0"/>
              <w:tabs>
                <w:tab w:val="left" w:pos="1778"/>
              </w:tabs>
              <w:spacing w:before="0" w:beforeAutospacing="0" w:after="0" w:afterAutospacing="0"/>
              <w:ind w:left="0" w:right="0"/>
              <w:jc w:val="center"/>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项目总工</w:t>
            </w:r>
          </w:p>
        </w:tc>
        <w:tc>
          <w:tcPr>
            <w:tcW w:w="644"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w:t>
            </w:r>
          </w:p>
        </w:tc>
        <w:tc>
          <w:tcPr>
            <w:tcW w:w="5571"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rPr>
              <w:t>具有公路工程相关专业高级或以上技术职称；5年或以上公路工程施工管理经验；持省级交通运输主管部门核发有效的B类安全生产考核证；近5年以来，担任过1个新建或改扩建高速公路路路基桥涵工程施工合同段项目总工。</w:t>
            </w:r>
          </w:p>
        </w:tc>
        <w:tc>
          <w:tcPr>
            <w:tcW w:w="1597" w:type="dxa"/>
            <w:tcBorders>
              <w:tl2br w:val="nil"/>
              <w:tr2bl w:val="nil"/>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p>
        </w:tc>
      </w:tr>
    </w:tbl>
    <w:p>
      <w:pPr>
        <w:pStyle w:val="4"/>
        <w:topLinePunct/>
        <w:spacing w:line="360" w:lineRule="auto"/>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说明：1.项目总负责人、设计负责人、施工项目经理、施工项目总工要求无在岗项目，指目前未在其他项目上任职，或虽在其他项目上任职但本项目中标后能够从该项目撤离。</w:t>
      </w:r>
    </w:p>
    <w:p>
      <w:pPr>
        <w:pStyle w:val="4"/>
        <w:topLinePunct/>
        <w:spacing w:line="360" w:lineRule="auto"/>
        <w:ind w:firstLine="480" w:firstLineChars="200"/>
        <w:rPr>
          <w:rFonts w:hint="eastAsia" w:ascii="仿宋" w:hAnsi="仿宋" w:eastAsia="仿宋" w:cs="仿宋"/>
          <w:kern w:val="2"/>
          <w:sz w:val="28"/>
          <w:szCs w:val="28"/>
          <w:lang w:val="en-US" w:eastAsia="zh-CN" w:bidi="ar-SA"/>
        </w:rPr>
      </w:pPr>
      <w:r>
        <w:rPr>
          <w:rFonts w:hint="eastAsia" w:ascii="仿宋" w:hAnsi="仿宋" w:eastAsia="仿宋" w:cs="仿宋"/>
          <w:kern w:val="2"/>
          <w:sz w:val="24"/>
          <w:szCs w:val="24"/>
          <w:lang w:val="en-US" w:eastAsia="zh-CN" w:bidi="ar-SA"/>
        </w:rPr>
        <w:t>2.项目总负责人根据所满足的资格条件可相应兼任设计负责人或施工项目经理。</w:t>
      </w:r>
    </w:p>
    <w:p>
      <w:pPr>
        <w:numPr>
          <w:ilvl w:val="0"/>
          <w:numId w:val="0"/>
        </w:num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拟投入的其他管理人员和技术人员，如各类别专业分工的勘察设计各分项负责人、工程管理人员、安全管理人员等，在投标时不需填报，但须按招标文件规定做出相关承诺。人员最低要求在招标文件提供的合同附件中明确，具体人选名单由招标人和中标人在合同谈判阶段确定，经招标人审批后作为派驻本标段项目管理机构人员并作为合同履约考核的依据。如中标人拟派驻的人员数量和资格条件不满足合同附件的要求，招标人将取消其中标资格。</w:t>
      </w:r>
    </w:p>
    <w:p>
      <w:pPr>
        <w:tabs>
          <w:tab w:val="left" w:pos="4228"/>
        </w:tabs>
        <w:spacing w:line="360" w:lineRule="auto"/>
        <w:ind w:firstLine="560" w:firstLineChars="200"/>
        <w:rPr>
          <w:rFonts w:hint="eastAsia" w:ascii="仿宋" w:hAnsi="仿宋" w:eastAsia="仿宋" w:cs="仿宋"/>
          <w:sz w:val="28"/>
          <w:szCs w:val="28"/>
        </w:rPr>
      </w:pPr>
      <w:r>
        <w:rPr>
          <w:rFonts w:ascii="仿宋" w:hAnsi="仿宋" w:eastAsia="仿宋"/>
          <w:sz w:val="28"/>
          <w:szCs w:val="28"/>
        </w:rPr>
        <w:t>（</w:t>
      </w:r>
      <w:r>
        <w:rPr>
          <w:rFonts w:hint="eastAsia" w:ascii="仿宋" w:hAnsi="仿宋" w:eastAsia="仿宋"/>
          <w:sz w:val="28"/>
          <w:szCs w:val="28"/>
        </w:rPr>
        <w:t>7</w:t>
      </w:r>
      <w:r>
        <w:rPr>
          <w:rFonts w:ascii="仿宋" w:hAnsi="仿宋" w:eastAsia="仿宋"/>
          <w:sz w:val="28"/>
          <w:szCs w:val="28"/>
        </w:rPr>
        <w:t>）</w:t>
      </w:r>
      <w:r>
        <w:rPr>
          <w:rFonts w:hint="eastAsia" w:ascii="仿宋" w:hAnsi="仿宋" w:eastAsia="仿宋" w:cs="仿宋"/>
          <w:sz w:val="28"/>
          <w:szCs w:val="28"/>
        </w:rPr>
        <w:t>拟投入的主要机械设备和试验检测设备，在投标时不需填报，但须按招标文件规定做出相关承诺。设备最低要求在招标文件提供的合同附件中明确，具体设备清单由招标人和中标人在合同谈判阶段确定，经招标人审批后作为投入本标段的主要设备并作为合同履约考核的依据。如中标人拟提供的设备数量和规格指标等不满足合同附件的要求，招标人将取消其中标资格。</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2.以联合体形式投标的，还须符合以下规定：</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（1）一名联合体成员根据所具备的资格条件，承担相应类别的专业分工。联合体所有成员数量不得超过5家，联合体牵头人应为承担施工图勘察设计或主体工程施工专业分工的单位。</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（2）同一专业分工由不同联合体成员共同承担的，按照资质等级较低的单位确定联合体的资质，按照各单位相应业绩之和确定联合体具有的业绩。</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（3）联合体各方不得再以自己的名义单独或参加其他联合体在同一标段中投标。</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（4）单位负责人为同一人或存在控股、管理关系的不同单位，不得同时独立或组成不同的联合体参加同一标段的投标，否则相关投标均无效。</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（5）联合体各方应按规定的格式签订联合体协议书，明确联合体牵头人和各方权利义务，并承诺就中标项目向招标人承担连带责任。</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3.独立投标的投标人及联合体中承担施工图勘察设计专业分工的联合体成员应进入交通运输部“全国公路建设市场信用信息管理系统"中的公路工程设计资质企业名录，且投标人名称和资质与该名录中相应企业名称和资质完全一致。</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独立投标的投标人及联合体中承担主体工程施工、交安、机电工程施工专业分工的联合体成员应进入交通运输部“全国公路建设市场信用信息管理系统”中的公路工程施工资质企业名录，且投标人名称和资质与该名录中的相应企业名称和资质完全一致。</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独立投标的投标人及联合体中承担房建工程施工专业分工的联合体成员应进入住房和城乡建设部“全国建筑市场监管公共服务平台”企业数据库，且投标人名称和资质与其中的相应企业名称和资质完全一致。</w:t>
      </w:r>
    </w:p>
    <w:p>
      <w:pPr>
        <w:spacing w:line="360" w:lineRule="auto"/>
        <w:ind w:firstLine="549"/>
        <w:rPr>
          <w:rFonts w:hint="eastAsia" w:ascii="仿宋" w:hAnsi="仿宋" w:eastAsia="仿宋"/>
          <w:sz w:val="28"/>
          <w:szCs w:val="28"/>
        </w:rPr>
      </w:pPr>
      <w:r>
        <w:rPr>
          <w:rFonts w:hint="eastAsia" w:ascii="仿宋" w:hAnsi="仿宋" w:eastAsia="仿宋"/>
          <w:sz w:val="28"/>
          <w:szCs w:val="28"/>
        </w:rPr>
        <w:t>4.在“信用中国”网站中被列入失信被执行人名单的单位，不得参加投标。</w:t>
      </w:r>
    </w:p>
    <w:p>
      <w:pPr>
        <w:spacing w:line="360" w:lineRule="auto"/>
        <w:ind w:firstLine="549"/>
        <w:rPr>
          <w:rFonts w:hint="eastAsia" w:ascii="仿宋" w:hAnsi="仿宋" w:eastAsia="仿宋"/>
          <w:sz w:val="28"/>
          <w:szCs w:val="28"/>
        </w:rPr>
      </w:pPr>
      <w:r>
        <w:rPr>
          <w:rFonts w:hint="eastAsia" w:ascii="仿宋" w:hAnsi="仿宋" w:eastAsia="仿宋"/>
          <w:sz w:val="28"/>
          <w:szCs w:val="28"/>
        </w:rPr>
        <w:t>5.本项目初步勘察设计及设计咨询（含地勘监理）单位及其附属单位、政府咨询（评估）单位不得参加本次投标。</w:t>
      </w:r>
    </w:p>
    <w:p>
      <w:pPr>
        <w:spacing w:line="360" w:lineRule="auto"/>
        <w:ind w:firstLine="549"/>
        <w:rPr>
          <w:rFonts w:hint="eastAsia" w:ascii="仿宋" w:hAnsi="仿宋" w:eastAsia="仿宋" w:cs="仿宋"/>
          <w:bCs/>
          <w:sz w:val="28"/>
          <w:szCs w:val="28"/>
        </w:rPr>
      </w:pPr>
      <w:r>
        <w:rPr>
          <w:rFonts w:hint="eastAsia" w:ascii="仿宋" w:hAnsi="仿宋" w:eastAsia="仿宋"/>
          <w:sz w:val="28"/>
          <w:szCs w:val="28"/>
        </w:rPr>
        <w:t>6.投标保证金金额：每名投标人80万元；投标保证金形式：现金或银行保函；以联合体形式投标的，由联合体牵头人递交投标保证金</w:t>
      </w:r>
      <w:r>
        <w:rPr>
          <w:rFonts w:hint="eastAsia" w:ascii="仿宋" w:hAnsi="仿宋" w:eastAsia="仿宋" w:cs="仿宋"/>
          <w:bCs/>
          <w:sz w:val="28"/>
          <w:szCs w:val="28"/>
          <w:lang w:val="en-US" w:eastAsia="zh-CN"/>
        </w:rPr>
        <w:t>。</w:t>
      </w:r>
    </w:p>
    <w:p>
      <w:pPr>
        <w:tabs>
          <w:tab w:val="left" w:pos="1778"/>
        </w:tabs>
        <w:spacing w:line="360" w:lineRule="auto"/>
        <w:ind w:firstLine="562" w:firstLineChars="200"/>
        <w:outlineLvl w:val="1"/>
        <w:rPr>
          <w:rFonts w:hint="eastAsia" w:ascii="仿宋" w:hAnsi="仿宋" w:eastAsia="仿宋" w:cs="仿宋"/>
          <w:b/>
          <w:sz w:val="28"/>
          <w:szCs w:val="28"/>
          <w:lang w:eastAsia="zh-CN"/>
        </w:rPr>
      </w:pPr>
      <w:r>
        <w:rPr>
          <w:rFonts w:hint="eastAsia" w:ascii="仿宋" w:hAnsi="仿宋" w:eastAsia="仿宋" w:cs="仿宋"/>
          <w:b/>
          <w:sz w:val="28"/>
          <w:szCs w:val="28"/>
        </w:rPr>
        <w:t>三、评标办法</w:t>
      </w: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综合评估法</w:t>
      </w:r>
      <w:r>
        <w:rPr>
          <w:rFonts w:hint="eastAsia" w:ascii="仿宋" w:hAnsi="仿宋" w:eastAsia="仿宋" w:cs="仿宋"/>
          <w:b/>
          <w:sz w:val="28"/>
          <w:szCs w:val="28"/>
          <w:lang w:eastAsia="zh-CN"/>
        </w:rPr>
        <w:t>）</w:t>
      </w:r>
    </w:p>
    <w:p>
      <w:pPr>
        <w:spacing w:line="360" w:lineRule="auto"/>
        <w:ind w:firstLine="549"/>
        <w:rPr>
          <w:rFonts w:hint="eastAsia" w:ascii="仿宋" w:hAnsi="仿宋" w:eastAsia="仿宋" w:cs="仿宋"/>
          <w:bCs/>
          <w:sz w:val="28"/>
          <w:szCs w:val="28"/>
        </w:rPr>
      </w:pPr>
      <w:r>
        <w:rPr>
          <w:rFonts w:hint="eastAsia" w:ascii="仿宋" w:hAnsi="仿宋" w:eastAsia="仿宋" w:cs="仿宋"/>
          <w:bCs/>
          <w:sz w:val="28"/>
          <w:szCs w:val="28"/>
        </w:rPr>
        <w:t>评标办法前附表</w:t>
      </w:r>
    </w:p>
    <w:tbl>
      <w:tblPr>
        <w:tblStyle w:val="8"/>
        <w:tblW w:w="92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612"/>
        <w:gridCol w:w="1788"/>
        <w:gridCol w:w="1009"/>
        <w:gridCol w:w="4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98" w:type="dxa"/>
            <w:gridSpan w:val="2"/>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条款号</w:t>
            </w:r>
          </w:p>
        </w:tc>
        <w:tc>
          <w:tcPr>
            <w:tcW w:w="7412" w:type="dxa"/>
            <w:gridSpan w:val="3"/>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评审因素与评审标准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98" w:type="dxa"/>
            <w:gridSpan w:val="2"/>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1</w:t>
            </w:r>
          </w:p>
        </w:tc>
        <w:tc>
          <w:tcPr>
            <w:tcW w:w="7412" w:type="dxa"/>
            <w:gridSpan w:val="3"/>
            <w:vAlign w:val="center"/>
          </w:tcPr>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lang w:val="en-US" w:eastAsia="zh-CN"/>
              </w:rPr>
              <w:t xml:space="preserve">本次评标采用综合评估法。评标委员会对满足招标文件实质性要求的投标 </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lang w:val="en-US" w:eastAsia="zh-CN"/>
              </w:rPr>
              <w:t xml:space="preserve">文件，按照本章第 </w:t>
            </w:r>
            <w:r>
              <w:rPr>
                <w:rFonts w:hint="default" w:ascii="仿宋" w:hAnsi="仿宋" w:eastAsia="仿宋" w:cs="仿宋"/>
                <w:b w:val="0"/>
                <w:bCs/>
                <w:szCs w:val="21"/>
                <w:lang w:val="en-US" w:eastAsia="zh-CN"/>
              </w:rPr>
              <w:t xml:space="preserve">2.2 </w:t>
            </w:r>
            <w:r>
              <w:rPr>
                <w:rFonts w:hint="eastAsia" w:ascii="仿宋" w:hAnsi="仿宋" w:eastAsia="仿宋" w:cs="仿宋"/>
                <w:b w:val="0"/>
                <w:bCs/>
                <w:szCs w:val="21"/>
                <w:lang w:val="en-US" w:eastAsia="zh-CN"/>
              </w:rPr>
              <w:t xml:space="preserve">款规定的评分标准进行打分，并按得分由高到低顺序推 </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lang w:val="en-US" w:eastAsia="zh-CN"/>
              </w:rPr>
              <w:t>荐中标候选人，但投标报价低于其成本的除外。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86"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2.1.1</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2.1.3</w:t>
            </w:r>
          </w:p>
        </w:tc>
        <w:tc>
          <w:tcPr>
            <w:tcW w:w="612"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形式评审</w:t>
            </w:r>
            <w:r>
              <w:rPr>
                <w:rFonts w:hint="eastAsia" w:ascii="仿宋" w:hAnsi="仿宋" w:eastAsia="仿宋" w:cs="仿宋"/>
                <w:b w:val="0"/>
                <w:bCs/>
                <w:szCs w:val="21"/>
                <w:lang w:val="en-US" w:eastAsia="zh-CN"/>
              </w:rPr>
              <w:t>与</w:t>
            </w:r>
            <w:r>
              <w:rPr>
                <w:rFonts w:hint="eastAsia" w:ascii="仿宋" w:hAnsi="仿宋" w:eastAsia="仿宋" w:cs="仿宋"/>
                <w:b w:val="0"/>
                <w:bCs/>
                <w:szCs w:val="21"/>
              </w:rPr>
              <w:t>响应性评审标准</w:t>
            </w:r>
          </w:p>
        </w:tc>
        <w:tc>
          <w:tcPr>
            <w:tcW w:w="7412" w:type="dxa"/>
            <w:gridSpan w:val="3"/>
            <w:vAlign w:val="center"/>
          </w:tcPr>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第一信封（商务及技术文件）评审标准：</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（1）投标人名称与营业执照、施工资质证书及勘察设计资质证书、安全生产许可证一致；</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（2）投标文件上法定代表人或其授权代理人的签字、投标人的单位章盖章齐全，符合招标文件规定；</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 xml:space="preserve">（3）投标文件按照招标文件规定的格式、内容填写，字迹清晰可辨： </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a.</w:t>
            </w:r>
            <w:r>
              <w:rPr>
                <w:rFonts w:hint="default" w:ascii="仿宋" w:hAnsi="仿宋" w:eastAsia="仿宋" w:cs="仿宋"/>
                <w:b w:val="0"/>
                <w:bCs/>
                <w:szCs w:val="21"/>
                <w:lang w:val="en-US" w:eastAsia="zh-CN"/>
              </w:rPr>
              <w:t>投标函按招标文件规定填报了项目名称、标段号、补遗书编号（如有）</w:t>
            </w:r>
            <w:r>
              <w:rPr>
                <w:rFonts w:hint="eastAsia" w:ascii="仿宋" w:hAnsi="仿宋" w:eastAsia="仿宋" w:cs="仿宋"/>
                <w:b w:val="0"/>
                <w:bCs/>
                <w:szCs w:val="21"/>
                <w:lang w:val="en-US" w:eastAsia="zh-CN"/>
              </w:rPr>
              <w:t>、</w:t>
            </w:r>
            <w:r>
              <w:rPr>
                <w:rFonts w:hint="default" w:ascii="仿宋" w:hAnsi="仿宋" w:eastAsia="仿宋" w:cs="仿宋"/>
                <w:b w:val="0"/>
                <w:bCs/>
                <w:szCs w:val="21"/>
                <w:lang w:val="en-US" w:eastAsia="zh-CN"/>
              </w:rPr>
              <w:t xml:space="preserve">工期、工程质量要求及安全目标； </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 xml:space="preserve">b.投标函附录的所有数据均符合招标文件规定； </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default" w:ascii="仿宋" w:hAnsi="仿宋" w:eastAsia="仿宋" w:cs="仿宋"/>
                <w:b w:val="0"/>
                <w:bCs/>
                <w:szCs w:val="21"/>
                <w:lang w:val="en-US" w:eastAsia="zh-CN"/>
              </w:rPr>
              <w:t>c.投标文件组成齐全完整，提供的相关资料符合招标文件规定，内容均按规定填写</w:t>
            </w:r>
            <w:r>
              <w:rPr>
                <w:rFonts w:hint="eastAsia" w:ascii="仿宋" w:hAnsi="仿宋" w:eastAsia="仿宋" w:cs="仿宋"/>
                <w:b w:val="0"/>
                <w:bCs/>
                <w:szCs w:val="21"/>
                <w:lang w:val="en-US" w:eastAsia="zh-CN"/>
              </w:rPr>
              <w:t xml:space="preserve">； </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（4）</w:t>
            </w:r>
            <w:r>
              <w:rPr>
                <w:rFonts w:hint="default" w:ascii="仿宋" w:hAnsi="仿宋" w:eastAsia="仿宋" w:cs="仿宋"/>
                <w:b w:val="0"/>
                <w:bCs/>
                <w:szCs w:val="21"/>
                <w:lang w:val="en-US" w:eastAsia="zh-CN"/>
              </w:rPr>
              <w:t xml:space="preserve">投标人按照招标文件的规定提供了投标保证金； </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 xml:space="preserve">a.投标保证金金额符合招标文件规定的金额，且投标保证金有效期不少于投标有效期； </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b .若投标保证金采用现金形式提交，投标人应在递交投标文件截止时间之前，将投标保证金由投标人的基本账户</w:t>
            </w:r>
            <w:r>
              <w:rPr>
                <w:rFonts w:hint="eastAsia" w:ascii="仿宋" w:hAnsi="仿宋" w:eastAsia="仿宋" w:cs="仿宋"/>
                <w:b w:val="0"/>
                <w:bCs/>
                <w:szCs w:val="21"/>
                <w:lang w:val="en-US" w:eastAsia="zh-CN"/>
              </w:rPr>
              <w:t>一次性</w:t>
            </w:r>
            <w:r>
              <w:rPr>
                <w:rFonts w:hint="default" w:ascii="仿宋" w:hAnsi="仿宋" w:eastAsia="仿宋" w:cs="仿宋"/>
                <w:b w:val="0"/>
                <w:bCs/>
                <w:szCs w:val="21"/>
                <w:lang w:val="en-US" w:eastAsia="zh-CN"/>
              </w:rPr>
              <w:t xml:space="preserve">转入招标人指定账户； </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c.若投标保证金采用银行保函形式提交，银行保函的格式、开具保函的银行均满足招标文件要求，且在递交投标文件截止时间之前向招标人提交了银行保函及权限说明（如有）原件</w:t>
            </w:r>
            <w:r>
              <w:rPr>
                <w:rFonts w:hint="eastAsia" w:ascii="仿宋" w:hAnsi="仿宋" w:eastAsia="仿宋" w:cs="仿宋"/>
                <w:b w:val="0"/>
                <w:bCs/>
                <w:szCs w:val="21"/>
                <w:lang w:val="en-US" w:eastAsia="zh-CN"/>
              </w:rPr>
              <w:t>；</w:t>
            </w:r>
            <w:r>
              <w:rPr>
                <w:rFonts w:hint="default" w:ascii="仿宋" w:hAnsi="仿宋" w:eastAsia="仿宋" w:cs="仿宋"/>
                <w:b w:val="0"/>
                <w:bCs/>
                <w:szCs w:val="21"/>
                <w:lang w:val="en-US" w:eastAsia="zh-CN"/>
              </w:rPr>
              <w:t xml:space="preserve"> </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（5）</w:t>
            </w:r>
            <w:r>
              <w:rPr>
                <w:rFonts w:hint="default" w:ascii="仿宋" w:hAnsi="仿宋" w:eastAsia="仿宋" w:cs="仿宋"/>
                <w:b w:val="0"/>
                <w:bCs/>
                <w:szCs w:val="21"/>
                <w:lang w:val="en-US" w:eastAsia="zh-CN"/>
              </w:rPr>
              <w:t>投标人法定代表人授权委托代理人签署投标文件的，需提交授权委托书，且授权人和被授权人均在授权委托书上按招标文件规定签字或盖章</w:t>
            </w:r>
            <w:r>
              <w:rPr>
                <w:rFonts w:hint="eastAsia" w:ascii="仿宋" w:hAnsi="仿宋" w:eastAsia="仿宋" w:cs="仿宋"/>
                <w:b w:val="0"/>
                <w:bCs/>
                <w:szCs w:val="21"/>
                <w:lang w:val="en-US" w:eastAsia="zh-CN"/>
              </w:rPr>
              <w:t>；</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（6）</w:t>
            </w:r>
            <w:r>
              <w:rPr>
                <w:rFonts w:hint="default" w:ascii="仿宋" w:hAnsi="仿宋" w:eastAsia="仿宋" w:cs="仿宋"/>
                <w:b w:val="0"/>
                <w:bCs/>
                <w:szCs w:val="21"/>
                <w:lang w:val="en-US" w:eastAsia="zh-CN"/>
              </w:rPr>
              <w:t xml:space="preserve">投标人法定代表人亲自签署投标文件的，提供了法定代表人身份证明，且法定代表人在法定代表人身份证明上按招标文件规定签字或盖章。 </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（7）</w:t>
            </w:r>
            <w:r>
              <w:rPr>
                <w:rFonts w:hint="default" w:ascii="仿宋" w:hAnsi="仿宋" w:eastAsia="仿宋" w:cs="仿宋"/>
                <w:b w:val="0"/>
                <w:bCs/>
                <w:szCs w:val="21"/>
                <w:lang w:val="en-US" w:eastAsia="zh-CN"/>
              </w:rPr>
              <w:t xml:space="preserve">投标人以联合体投标时，联合体满足招标文件的要求： </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 xml:space="preserve">a.投标人按照招标文件提供的格式签订了联合体协议书，明确各方承担连带责任，并明确了联合体牵头人，且联合体的组成符合招标文件规定； </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default" w:ascii="仿宋" w:hAnsi="仿宋" w:eastAsia="仿宋" w:cs="仿宋"/>
                <w:b w:val="0"/>
                <w:bCs/>
                <w:szCs w:val="21"/>
                <w:lang w:val="en-US" w:eastAsia="zh-CN"/>
              </w:rPr>
              <w:t>b.联合体各方分别按照招标文件要求，填</w:t>
            </w:r>
            <w:r>
              <w:rPr>
                <w:rFonts w:hint="eastAsia" w:ascii="仿宋" w:hAnsi="仿宋" w:eastAsia="仿宋" w:cs="仿宋"/>
                <w:b w:val="0"/>
                <w:bCs/>
                <w:szCs w:val="21"/>
                <w:lang w:val="en-US" w:eastAsia="zh-CN"/>
              </w:rPr>
              <w:t>报</w:t>
            </w:r>
            <w:r>
              <w:rPr>
                <w:rFonts w:hint="default" w:ascii="仿宋" w:hAnsi="仿宋" w:eastAsia="仿宋" w:cs="仿宋"/>
                <w:b w:val="0"/>
                <w:bCs/>
                <w:szCs w:val="21"/>
                <w:lang w:val="en-US" w:eastAsia="zh-CN"/>
              </w:rPr>
              <w:t>投标文件中的相应</w:t>
            </w:r>
            <w:r>
              <w:rPr>
                <w:rFonts w:hint="eastAsia" w:ascii="仿宋" w:hAnsi="仿宋" w:eastAsia="仿宋" w:cs="仿宋"/>
                <w:b w:val="0"/>
                <w:bCs/>
                <w:szCs w:val="21"/>
                <w:lang w:val="en-US" w:eastAsia="zh-CN"/>
              </w:rPr>
              <w:t>资料；</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（8）投标人分包符合招标文件规定；</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（9）</w:t>
            </w:r>
            <w:r>
              <w:rPr>
                <w:rFonts w:hint="default" w:ascii="仿宋" w:hAnsi="仿宋" w:eastAsia="仿宋" w:cs="仿宋"/>
                <w:b w:val="0"/>
                <w:bCs/>
                <w:szCs w:val="21"/>
                <w:lang w:val="en-US" w:eastAsia="zh-CN"/>
              </w:rPr>
              <w:t>同一投标人未提交两个以上不同的投标文件。</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（10）</w:t>
            </w:r>
            <w:r>
              <w:rPr>
                <w:rFonts w:hint="default" w:ascii="仿宋" w:hAnsi="仿宋" w:eastAsia="仿宋" w:cs="仿宋"/>
                <w:b w:val="0"/>
                <w:bCs/>
                <w:szCs w:val="21"/>
                <w:lang w:val="en-US" w:eastAsia="zh-CN"/>
              </w:rPr>
              <w:t>投标文件中未出现有关投标报价的内容。</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（11）投标文件载明的招标项目完成期限未超过招标文件规定的时限；</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（12）</w:t>
            </w:r>
            <w:r>
              <w:rPr>
                <w:rFonts w:hint="default" w:ascii="仿宋" w:hAnsi="仿宋" w:eastAsia="仿宋" w:cs="仿宋"/>
                <w:b w:val="0"/>
                <w:bCs/>
                <w:szCs w:val="21"/>
                <w:lang w:val="en-US" w:eastAsia="zh-CN"/>
              </w:rPr>
              <w:t>投标文件对招标文件的实质性要求和条件作出响应</w:t>
            </w:r>
            <w:r>
              <w:rPr>
                <w:rFonts w:hint="eastAsia" w:ascii="仿宋" w:hAnsi="仿宋" w:eastAsia="仿宋" w:cs="仿宋"/>
                <w:b w:val="0"/>
                <w:bCs/>
                <w:szCs w:val="21"/>
                <w:lang w:val="en-US" w:eastAsia="zh-CN"/>
              </w:rPr>
              <w:t>；</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（13）权利义务符合招标文件规定：</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a.投标人应接受招标文件规定的风险</w:t>
            </w:r>
            <w:r>
              <w:rPr>
                <w:rFonts w:hint="default" w:ascii="仿宋" w:hAnsi="仿宋" w:eastAsia="仿宋" w:cs="仿宋"/>
                <w:b w:val="0"/>
                <w:bCs/>
                <w:szCs w:val="21"/>
                <w:lang w:val="en-US" w:eastAsia="zh-CN"/>
              </w:rPr>
              <w:t>划分原则，未提出新的风险划分办法；</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b.投标人未增加发包人的责任范围，或减少投标人义务；</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c.投标人未提出不同的工程验收、计量、支付办法；</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d.投标人对合同纠纷、事故处理办法未提出异议；</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e.投标人在投标活动中无欺诈行为；</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f.投标人未对合同条款有</w:t>
            </w:r>
            <w:r>
              <w:rPr>
                <w:rFonts w:hint="eastAsia" w:ascii="仿宋" w:hAnsi="仿宋" w:eastAsia="仿宋" w:cs="仿宋"/>
                <w:b w:val="0"/>
                <w:bCs/>
                <w:szCs w:val="21"/>
                <w:lang w:val="en-US" w:eastAsia="zh-CN"/>
              </w:rPr>
              <w:t>重要保留；</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（14）投标有效期符合招标文件规定；</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第二信封（报价文件）评审标准：</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 xml:space="preserve">（1）投标文件按照招标文件规定的格式、内容填写，字迹清晰可辩； </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a.投标函按招标文件规定填报了项目名称、标段号、补遗书编号（如有）、投标价（包括大写金额和小写金额）</w:t>
            </w:r>
            <w:r>
              <w:rPr>
                <w:rFonts w:hint="eastAsia" w:ascii="仿宋" w:hAnsi="仿宋" w:eastAsia="仿宋" w:cs="仿宋"/>
                <w:b w:val="0"/>
                <w:bCs/>
                <w:szCs w:val="21"/>
                <w:lang w:val="en-US" w:eastAsia="zh-CN"/>
              </w:rPr>
              <w:t>；</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b.</w:t>
            </w:r>
            <w:r>
              <w:rPr>
                <w:rFonts w:hint="eastAsia" w:ascii="仿宋" w:hAnsi="仿宋" w:eastAsia="仿宋" w:cs="仿宋"/>
                <w:b w:val="0"/>
                <w:bCs/>
                <w:szCs w:val="21"/>
                <w:lang w:val="en-US" w:eastAsia="zh-CN"/>
              </w:rPr>
              <w:t>价格</w:t>
            </w:r>
            <w:r>
              <w:rPr>
                <w:rFonts w:hint="default" w:ascii="仿宋" w:hAnsi="仿宋" w:eastAsia="仿宋" w:cs="仿宋"/>
                <w:b w:val="0"/>
                <w:bCs/>
                <w:szCs w:val="21"/>
                <w:lang w:val="en-US" w:eastAsia="zh-CN"/>
              </w:rPr>
              <w:t xml:space="preserve">清单说明文字与招标文件规定一致，未进行实质性修改和删减； </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c.投标文件组成齐全完整，提供的相关资料符合招标文件规定，内容均按规定填写</w:t>
            </w:r>
            <w:r>
              <w:rPr>
                <w:rFonts w:hint="eastAsia" w:ascii="仿宋" w:hAnsi="仿宋" w:eastAsia="仿宋" w:cs="仿宋"/>
                <w:b w:val="0"/>
                <w:bCs/>
                <w:szCs w:val="21"/>
                <w:lang w:val="en-US" w:eastAsia="zh-CN"/>
              </w:rPr>
              <w:t>；</w:t>
            </w:r>
            <w:r>
              <w:rPr>
                <w:rFonts w:hint="default" w:ascii="仿宋" w:hAnsi="仿宋" w:eastAsia="仿宋" w:cs="仿宋"/>
                <w:b w:val="0"/>
                <w:bCs/>
                <w:szCs w:val="21"/>
                <w:lang w:val="en-US" w:eastAsia="zh-CN"/>
              </w:rPr>
              <w:t xml:space="preserve"> </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（2）投标文件上法定代表人或其委托代理人的签字或盖章、投标人的单位盖章齐全，符合招标文件规定</w:t>
            </w:r>
            <w:r>
              <w:rPr>
                <w:rFonts w:hint="eastAsia" w:ascii="仿宋" w:hAnsi="仿宋" w:eastAsia="仿宋" w:cs="仿宋"/>
                <w:b w:val="0"/>
                <w:bCs/>
                <w:szCs w:val="21"/>
                <w:lang w:val="en-US" w:eastAsia="zh-CN"/>
              </w:rPr>
              <w:t>；</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（3）投标报价</w:t>
            </w:r>
            <w:r>
              <w:rPr>
                <w:rFonts w:hint="eastAsia" w:ascii="仿宋" w:hAnsi="仿宋" w:eastAsia="仿宋" w:cs="仿宋"/>
                <w:b w:val="0"/>
                <w:bCs/>
                <w:szCs w:val="21"/>
                <w:lang w:val="en-US" w:eastAsia="zh-CN"/>
              </w:rPr>
              <w:t>未超过</w:t>
            </w:r>
            <w:r>
              <w:rPr>
                <w:rFonts w:hint="default" w:ascii="仿宋" w:hAnsi="仿宋" w:eastAsia="仿宋" w:cs="仿宋"/>
                <w:b w:val="0"/>
                <w:bCs/>
                <w:szCs w:val="21"/>
                <w:lang w:val="en-US" w:eastAsia="zh-CN"/>
              </w:rPr>
              <w:t>招标文件设定的最高投标限价（包括各分项限价，如有）</w:t>
            </w:r>
            <w:r>
              <w:rPr>
                <w:rFonts w:hint="eastAsia" w:ascii="仿宋" w:hAnsi="仿宋" w:eastAsia="仿宋" w:cs="仿宋"/>
                <w:b w:val="0"/>
                <w:bCs/>
                <w:szCs w:val="21"/>
                <w:lang w:val="en-US" w:eastAsia="zh-CN"/>
              </w:rPr>
              <w:t>；</w:t>
            </w:r>
            <w:r>
              <w:rPr>
                <w:rFonts w:hint="default" w:ascii="仿宋" w:hAnsi="仿宋" w:eastAsia="仿宋" w:cs="仿宋"/>
                <w:b w:val="0"/>
                <w:bCs/>
                <w:szCs w:val="21"/>
                <w:lang w:val="en-US" w:eastAsia="zh-CN"/>
              </w:rPr>
              <w:t xml:space="preserve"> </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（4）投标报价的大写金额能够确定具体数值</w:t>
            </w:r>
            <w:r>
              <w:rPr>
                <w:rFonts w:hint="eastAsia" w:ascii="仿宋" w:hAnsi="仿宋" w:eastAsia="仿宋" w:cs="仿宋"/>
                <w:b w:val="0"/>
                <w:bCs/>
                <w:szCs w:val="21"/>
                <w:lang w:val="en-US" w:eastAsia="zh-CN"/>
              </w:rPr>
              <w:t>；</w:t>
            </w:r>
          </w:p>
          <w:p>
            <w:pPr>
              <w:keepNext w:val="0"/>
              <w:keepLines w:val="0"/>
              <w:suppressLineNumbers w:val="0"/>
              <w:tabs>
                <w:tab w:val="left" w:pos="1778"/>
              </w:tabs>
              <w:spacing w:before="0" w:beforeAutospacing="0" w:after="0" w:afterAutospacing="0"/>
              <w:ind w:left="0" w:right="0"/>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（5）同一投标人未提交两个以上不同的投标报价</w:t>
            </w:r>
            <w:r>
              <w:rPr>
                <w:rFonts w:hint="eastAsia" w:ascii="仿宋" w:hAnsi="仿宋" w:eastAsia="仿宋" w:cs="仿宋"/>
                <w:b w:val="0"/>
                <w:bCs/>
                <w:szCs w:val="21"/>
                <w:lang w:val="en-US" w:eastAsia="zh-CN"/>
              </w:rPr>
              <w:t>；</w:t>
            </w:r>
            <w:r>
              <w:rPr>
                <w:rFonts w:hint="default" w:ascii="仿宋" w:hAnsi="仿宋" w:eastAsia="仿宋" w:cs="仿宋"/>
                <w:b w:val="0"/>
                <w:bCs/>
                <w:szCs w:val="21"/>
                <w:lang w:val="en-US" w:eastAsia="zh-CN"/>
              </w:rPr>
              <w:t xml:space="preserve"> </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default" w:ascii="仿宋" w:hAnsi="仿宋" w:eastAsia="仿宋" w:cs="仿宋"/>
                <w:b w:val="0"/>
                <w:bCs/>
                <w:szCs w:val="21"/>
                <w:lang w:val="en-US" w:eastAsia="zh-CN"/>
              </w:rPr>
              <w:t>（6）投标人未提交调价函</w:t>
            </w:r>
            <w:r>
              <w:rPr>
                <w:rFonts w:hint="eastAsia" w:ascii="仿宋" w:hAnsi="仿宋" w:eastAsia="仿宋" w:cs="仿宋"/>
                <w:b w:val="0"/>
                <w:bCs/>
                <w:szCs w:val="21"/>
                <w:lang w:val="en-US" w:eastAsia="zh-CN"/>
              </w:rPr>
              <w:t>。</w:t>
            </w:r>
            <w:r>
              <w:rPr>
                <w:rFonts w:hint="default" w:ascii="仿宋" w:hAnsi="仿宋" w:eastAsia="仿宋" w:cs="仿宋"/>
                <w:b w:val="0"/>
                <w:bCs/>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86"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2.1.2</w:t>
            </w:r>
          </w:p>
        </w:tc>
        <w:tc>
          <w:tcPr>
            <w:tcW w:w="612"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资格评审标准</w:t>
            </w:r>
          </w:p>
        </w:tc>
        <w:tc>
          <w:tcPr>
            <w:tcW w:w="7412" w:type="dxa"/>
            <w:gridSpan w:val="3"/>
            <w:vAlign w:val="center"/>
          </w:tcPr>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（1）投标人具备有效的营业执照、施工资质证书或勘察设计资质证书、安全生产许可证和基本账户开户许可证；</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（2）投标人的资质名录符合第二章“投标人须知”第9.2项规定；</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（3）投标人的资质等级符合第二章“投标人须知”第1.4.1项规定；</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（4）投标人的财务状况符合第二章“投标人须知”第1.4.1项规定；</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lang w:val="en-US" w:eastAsia="zh-CN"/>
              </w:rPr>
              <w:t>（5）投标人的类似项</w:t>
            </w:r>
            <w:r>
              <w:rPr>
                <w:rFonts w:hint="eastAsia" w:ascii="仿宋" w:hAnsi="仿宋" w:eastAsia="仿宋" w:cs="仿宋"/>
                <w:b w:val="0"/>
                <w:bCs/>
                <w:szCs w:val="21"/>
              </w:rPr>
              <w:t>目业绩符合第二章“投标人须知”第1.4.1项规定；</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rPr>
              <w:t>（</w:t>
            </w:r>
            <w:r>
              <w:rPr>
                <w:rFonts w:hint="eastAsia" w:ascii="仿宋" w:hAnsi="仿宋" w:eastAsia="仿宋" w:cs="仿宋"/>
                <w:b w:val="0"/>
                <w:bCs/>
                <w:szCs w:val="21"/>
                <w:lang w:val="en-US" w:eastAsia="zh-CN"/>
              </w:rPr>
              <w:t>6</w:t>
            </w:r>
            <w:r>
              <w:rPr>
                <w:rFonts w:hint="eastAsia" w:ascii="仿宋" w:hAnsi="仿宋" w:eastAsia="仿宋" w:cs="仿宋"/>
                <w:b w:val="0"/>
                <w:bCs/>
                <w:szCs w:val="21"/>
              </w:rPr>
              <w:t>）投标人的信誉符合第二章“投标人须知”第1.4.1项规定；</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rPr>
              <w:t>（</w:t>
            </w:r>
            <w:r>
              <w:rPr>
                <w:rFonts w:hint="eastAsia" w:ascii="仿宋" w:hAnsi="仿宋" w:eastAsia="仿宋" w:cs="仿宋"/>
                <w:b w:val="0"/>
                <w:bCs/>
                <w:szCs w:val="21"/>
                <w:lang w:val="en-US" w:eastAsia="zh-CN"/>
              </w:rPr>
              <w:t>7</w:t>
            </w:r>
            <w:r>
              <w:rPr>
                <w:rFonts w:hint="eastAsia" w:ascii="仿宋" w:hAnsi="仿宋" w:eastAsia="仿宋" w:cs="仿宋"/>
                <w:b w:val="0"/>
                <w:bCs/>
                <w:szCs w:val="21"/>
              </w:rPr>
              <w:t>）投标人的项目主要管理人员资格符合第二章“投标人须知”第1.4.1项规定；</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rPr>
              <w:t>（</w:t>
            </w:r>
            <w:r>
              <w:rPr>
                <w:rFonts w:hint="eastAsia" w:ascii="仿宋" w:hAnsi="仿宋" w:eastAsia="仿宋" w:cs="仿宋"/>
                <w:b w:val="0"/>
                <w:bCs/>
                <w:szCs w:val="21"/>
                <w:lang w:val="en-US" w:eastAsia="zh-CN"/>
              </w:rPr>
              <w:t>8</w:t>
            </w:r>
            <w:r>
              <w:rPr>
                <w:rFonts w:hint="eastAsia" w:ascii="仿宋" w:hAnsi="仿宋" w:eastAsia="仿宋" w:cs="仿宋"/>
                <w:b w:val="0"/>
                <w:bCs/>
                <w:szCs w:val="21"/>
              </w:rPr>
              <w:t>）投标人的其他要求符合第二章“投标人须知”第1.4.1项规定；</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lang w:val="en-US" w:eastAsia="zh-CN"/>
              </w:rPr>
              <w:t>（9）以联合体形式参与投标的，联合体各方均未再以自己名义单独或</w:t>
            </w:r>
            <w:r>
              <w:rPr>
                <w:rFonts w:hint="default" w:ascii="仿宋" w:hAnsi="仿宋" w:eastAsia="仿宋" w:cs="仿宋"/>
                <w:b w:val="0"/>
                <w:bCs/>
                <w:szCs w:val="21"/>
                <w:lang w:val="en-US" w:eastAsia="zh-CN"/>
              </w:rPr>
              <w:t>参加其他联合体在同一标段中投标；独立参与投标的，投标人未同时参加联合体在同一标段中投标。</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rPr>
              <w:t>（</w:t>
            </w:r>
            <w:r>
              <w:rPr>
                <w:rFonts w:hint="eastAsia" w:ascii="仿宋" w:hAnsi="仿宋" w:eastAsia="仿宋" w:cs="仿宋"/>
                <w:b w:val="0"/>
                <w:bCs/>
                <w:szCs w:val="21"/>
                <w:lang w:val="en-US" w:eastAsia="zh-CN"/>
              </w:rPr>
              <w:t>10</w:t>
            </w:r>
            <w:r>
              <w:rPr>
                <w:rFonts w:hint="eastAsia" w:ascii="仿宋" w:hAnsi="仿宋" w:eastAsia="仿宋" w:cs="仿宋"/>
                <w:b w:val="0"/>
                <w:bCs/>
                <w:szCs w:val="21"/>
              </w:rPr>
              <w:t>）投标人不存在第二章“投标人须知”第1.4.3项规定的任何一种情形。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98" w:type="dxa"/>
            <w:gridSpan w:val="2"/>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条款号</w:t>
            </w:r>
          </w:p>
        </w:tc>
        <w:tc>
          <w:tcPr>
            <w:tcW w:w="1788"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条款内容</w:t>
            </w:r>
          </w:p>
        </w:tc>
        <w:tc>
          <w:tcPr>
            <w:tcW w:w="5624" w:type="dxa"/>
            <w:gridSpan w:val="2"/>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98" w:type="dxa"/>
            <w:gridSpan w:val="2"/>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2.2.1</w:t>
            </w:r>
          </w:p>
        </w:tc>
        <w:tc>
          <w:tcPr>
            <w:tcW w:w="1788"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分值构成</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(总分100分)</w:t>
            </w:r>
          </w:p>
        </w:tc>
        <w:tc>
          <w:tcPr>
            <w:tcW w:w="5624" w:type="dxa"/>
            <w:gridSpan w:val="2"/>
            <w:vAlign w:val="center"/>
          </w:tcPr>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lang w:val="en-US" w:eastAsia="zh-CN"/>
              </w:rPr>
              <w:t>1、</w:t>
            </w:r>
            <w:r>
              <w:rPr>
                <w:rFonts w:hint="eastAsia" w:ascii="仿宋" w:hAnsi="仿宋" w:eastAsia="仿宋" w:cs="仿宋"/>
                <w:b w:val="0"/>
                <w:bCs/>
                <w:szCs w:val="21"/>
              </w:rPr>
              <w:t>项目管理机构：</w:t>
            </w:r>
            <w:r>
              <w:rPr>
                <w:rFonts w:hint="eastAsia" w:ascii="仿宋" w:hAnsi="仿宋" w:eastAsia="仿宋" w:cs="仿宋"/>
                <w:b w:val="0"/>
                <w:bCs/>
                <w:szCs w:val="21"/>
                <w:lang w:val="en-US" w:eastAsia="zh-CN"/>
              </w:rPr>
              <w:t>5</w:t>
            </w:r>
            <w:r>
              <w:rPr>
                <w:rFonts w:hint="eastAsia" w:ascii="仿宋" w:hAnsi="仿宋" w:eastAsia="仿宋" w:cs="仿宋"/>
                <w:b w:val="0"/>
                <w:bCs/>
                <w:szCs w:val="21"/>
              </w:rPr>
              <w:t>分</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其中：a.管理机构设置：1分</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 xml:space="preserve">      b.主要管理人员:4分</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lang w:val="en-US" w:eastAsia="zh-CN"/>
              </w:rPr>
              <w:t>2、业绩及</w:t>
            </w:r>
            <w:r>
              <w:rPr>
                <w:rFonts w:hint="eastAsia" w:ascii="仿宋" w:hAnsi="仿宋" w:eastAsia="仿宋" w:cs="仿宋"/>
                <w:b w:val="0"/>
                <w:bCs/>
                <w:szCs w:val="21"/>
              </w:rPr>
              <w:t>技术能力：</w:t>
            </w:r>
            <w:r>
              <w:rPr>
                <w:rFonts w:hint="eastAsia" w:ascii="仿宋" w:hAnsi="仿宋" w:eastAsia="仿宋" w:cs="仿宋"/>
                <w:b w:val="0"/>
                <w:bCs/>
                <w:szCs w:val="21"/>
                <w:lang w:val="en-US" w:eastAsia="zh-CN"/>
              </w:rPr>
              <w:t>10</w:t>
            </w:r>
            <w:r>
              <w:rPr>
                <w:rFonts w:hint="eastAsia" w:ascii="仿宋" w:hAnsi="仿宋" w:eastAsia="仿宋" w:cs="仿宋"/>
                <w:b w:val="0"/>
                <w:bCs/>
                <w:szCs w:val="21"/>
              </w:rPr>
              <w:t>分</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其中：a.业绩：9分</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 xml:space="preserve">      b.技术能力：1分</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lang w:val="en-US" w:eastAsia="zh-CN"/>
              </w:rPr>
              <w:t>3、设计文件的优化建议和设计技术方案</w:t>
            </w:r>
            <w:r>
              <w:rPr>
                <w:rFonts w:hint="eastAsia" w:ascii="仿宋" w:hAnsi="仿宋" w:eastAsia="仿宋" w:cs="仿宋"/>
                <w:b w:val="0"/>
                <w:bCs/>
                <w:szCs w:val="21"/>
              </w:rPr>
              <w:t>：</w:t>
            </w:r>
            <w:r>
              <w:rPr>
                <w:rFonts w:hint="eastAsia" w:ascii="仿宋" w:hAnsi="仿宋" w:eastAsia="仿宋" w:cs="仿宋"/>
                <w:b w:val="0"/>
                <w:bCs/>
                <w:szCs w:val="21"/>
                <w:lang w:val="en-US" w:eastAsia="zh-CN"/>
              </w:rPr>
              <w:t>10</w:t>
            </w:r>
            <w:r>
              <w:rPr>
                <w:rFonts w:hint="eastAsia" w:ascii="仿宋" w:hAnsi="仿宋" w:eastAsia="仿宋" w:cs="仿宋"/>
                <w:b w:val="0"/>
                <w:bCs/>
                <w:szCs w:val="21"/>
              </w:rPr>
              <w:t>分</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lang w:val="en-US" w:eastAsia="zh-CN"/>
              </w:rPr>
              <w:t>4、设计施工总承包管理方案</w:t>
            </w:r>
            <w:r>
              <w:rPr>
                <w:rFonts w:hint="eastAsia" w:ascii="仿宋" w:hAnsi="仿宋" w:eastAsia="仿宋" w:cs="仿宋"/>
                <w:b w:val="0"/>
                <w:bCs/>
                <w:szCs w:val="21"/>
              </w:rPr>
              <w:t>：</w:t>
            </w:r>
            <w:r>
              <w:rPr>
                <w:rFonts w:hint="eastAsia" w:ascii="仿宋" w:hAnsi="仿宋" w:eastAsia="仿宋" w:cs="仿宋"/>
                <w:b w:val="0"/>
                <w:bCs/>
                <w:szCs w:val="21"/>
                <w:lang w:val="en-US" w:eastAsia="zh-CN"/>
              </w:rPr>
              <w:t>10</w:t>
            </w:r>
            <w:r>
              <w:rPr>
                <w:rFonts w:hint="eastAsia" w:ascii="仿宋" w:hAnsi="仿宋" w:eastAsia="仿宋" w:cs="仿宋"/>
                <w:b w:val="0"/>
                <w:bCs/>
                <w:szCs w:val="21"/>
              </w:rPr>
              <w:t>分</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lang w:val="en-US" w:eastAsia="zh-CN"/>
              </w:rPr>
              <w:t>5、</w:t>
            </w:r>
            <w:r>
              <w:rPr>
                <w:rFonts w:hint="eastAsia" w:ascii="仿宋" w:hAnsi="仿宋" w:eastAsia="仿宋" w:cs="仿宋"/>
                <w:b w:val="0"/>
                <w:bCs/>
                <w:szCs w:val="21"/>
              </w:rPr>
              <w:t>施工组织设计：</w:t>
            </w:r>
            <w:r>
              <w:rPr>
                <w:rFonts w:hint="eastAsia" w:ascii="仿宋" w:hAnsi="仿宋" w:eastAsia="仿宋" w:cs="仿宋"/>
                <w:b w:val="0"/>
                <w:bCs/>
                <w:szCs w:val="21"/>
                <w:lang w:val="en-US" w:eastAsia="zh-CN"/>
              </w:rPr>
              <w:t>10</w:t>
            </w:r>
            <w:r>
              <w:rPr>
                <w:rFonts w:hint="eastAsia" w:ascii="仿宋" w:hAnsi="仿宋" w:eastAsia="仿宋" w:cs="仿宋"/>
                <w:b w:val="0"/>
                <w:bCs/>
                <w:szCs w:val="21"/>
              </w:rPr>
              <w:t>分</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lang w:val="en-US" w:eastAsia="zh-CN"/>
              </w:rPr>
              <w:t>6、履约信誉：10分</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lang w:val="en-US" w:eastAsia="zh-CN"/>
              </w:rPr>
              <w:t>投标人的商务和技术得分为上述七项得分之和</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lang w:val="en-US" w:eastAsia="zh-CN"/>
              </w:rPr>
              <w:t>7</w:t>
            </w:r>
            <w:r>
              <w:rPr>
                <w:rFonts w:hint="eastAsia" w:ascii="仿宋" w:hAnsi="仿宋" w:eastAsia="仿宋" w:cs="仿宋"/>
                <w:b w:val="0"/>
                <w:bCs/>
                <w:szCs w:val="21"/>
              </w:rPr>
              <w:t>、</w:t>
            </w:r>
            <w:r>
              <w:rPr>
                <w:rFonts w:hint="eastAsia" w:ascii="仿宋" w:hAnsi="仿宋" w:eastAsia="仿宋" w:cs="仿宋"/>
                <w:b w:val="0"/>
                <w:bCs/>
                <w:szCs w:val="21"/>
                <w:lang w:val="en-US" w:eastAsia="zh-CN"/>
              </w:rPr>
              <w:t>评标价</w:t>
            </w:r>
            <w:r>
              <w:rPr>
                <w:rFonts w:hint="eastAsia" w:ascii="仿宋" w:hAnsi="仿宋" w:eastAsia="仿宋" w:cs="仿宋"/>
                <w:b w:val="0"/>
                <w:bCs/>
                <w:szCs w:val="21"/>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98" w:type="dxa"/>
            <w:gridSpan w:val="2"/>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2.2.2</w:t>
            </w:r>
          </w:p>
        </w:tc>
        <w:tc>
          <w:tcPr>
            <w:tcW w:w="1788"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评标基准价</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计算方法</w:t>
            </w:r>
          </w:p>
        </w:tc>
        <w:tc>
          <w:tcPr>
            <w:tcW w:w="5624" w:type="dxa"/>
            <w:gridSpan w:val="2"/>
            <w:vAlign w:val="center"/>
          </w:tcPr>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①评标价的确定：</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评标价=投标函投标总报价文字报价</w:t>
            </w:r>
            <w:r>
              <w:rPr>
                <w:rFonts w:hint="eastAsia" w:ascii="仿宋" w:hAnsi="仿宋" w:eastAsia="仿宋" w:cs="仿宋"/>
                <w:b w:val="0"/>
                <w:bCs/>
                <w:szCs w:val="21"/>
              </w:rPr>
              <w:t>-暂估价</w:t>
            </w:r>
            <w:r>
              <w:rPr>
                <w:rFonts w:hint="eastAsia" w:ascii="仿宋" w:hAnsi="仿宋" w:eastAsia="仿宋" w:cs="仿宋"/>
                <w:b w:val="0"/>
                <w:bCs/>
                <w:szCs w:val="21"/>
                <w:lang w:val="en-US" w:eastAsia="zh-CN"/>
              </w:rPr>
              <w:t>-暂列金额</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②有效评标价：</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除按投标人须知前附表第5.2.4条规定投标报价不参与评标基准价计算的情形之外，剩余所有投标人的评标价均为有效评标价。</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③评标基准价的确定：</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有效评标价去掉n1个最高评标价和n2个最低评标价后平均值直接作为评标基准价P。</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object>
                <v:shape id="_x0000_i1025" o:spt="75" type="#_x0000_t75" style="height:39.05pt;width:189pt;" o:ole="t" filled="f" o:preferrelative="t" stroked="f" coordsize="21600,21600">
                  <v:path/>
                  <v:fill on="f" focussize="0,0"/>
                  <v:stroke on="f" joinstyle="miter"/>
                  <v:imagedata r:id="rId7" o:title=""/>
                  <o:lock v:ext="edit" aspectratio="t"/>
                  <w10:wrap type="none"/>
                  <w10:anchorlock/>
                </v:shape>
                <o:OLEObject Type="Embed" ProgID="Equation.3" ShapeID="_x0000_i1025" DrawAspect="Content" ObjectID="_1468075725" r:id="rId6">
                  <o:LockedField>false</o:LockedField>
                </o:OLEObject>
              </w:objec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式中：N为有效评标价的个数；</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n1、n2的取值：</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当N＜6时，n1、n2均取0；</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rPr>
            </w:pPr>
            <w:r>
              <w:rPr>
                <w:rFonts w:hint="eastAsia" w:ascii="仿宋" w:hAnsi="仿宋" w:eastAsia="仿宋" w:cs="仿宋"/>
                <w:b w:val="0"/>
                <w:bCs/>
                <w:szCs w:val="21"/>
                <w:lang w:val="en-US" w:eastAsia="zh-CN"/>
              </w:rPr>
              <w:t>当N≥6时，n1在取值区间1～M-1中随机抽取（最小为1），n2在取值区间1～M+1中随机抽取，M=N/4，M去尾取整。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798" w:type="dxa"/>
            <w:gridSpan w:val="2"/>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 xml:space="preserve">    2.2.3</w:t>
            </w:r>
          </w:p>
        </w:tc>
        <w:tc>
          <w:tcPr>
            <w:tcW w:w="1788"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评标价的偏差率</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计算公式</w:t>
            </w:r>
          </w:p>
        </w:tc>
        <w:tc>
          <w:tcPr>
            <w:tcW w:w="5624" w:type="dxa"/>
            <w:gridSpan w:val="2"/>
            <w:vAlign w:val="center"/>
          </w:tcPr>
          <w:p>
            <w:pPr>
              <w:keepNext w:val="0"/>
              <w:keepLines w:val="0"/>
              <w:suppressLineNumbers w:val="0"/>
              <w:tabs>
                <w:tab w:val="left" w:pos="1778"/>
              </w:tabs>
              <w:spacing w:before="0" w:beforeAutospacing="0" w:after="0" w:afterAutospacing="0"/>
              <w:ind w:left="0" w:right="0"/>
              <w:jc w:val="center"/>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偏差率=100%×（投标人评标价Di－评标基准价P）/评标基准价P,偏差率保留两位小数。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98" w:type="dxa"/>
            <w:gridSpan w:val="2"/>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条款号</w:t>
            </w:r>
          </w:p>
        </w:tc>
        <w:tc>
          <w:tcPr>
            <w:tcW w:w="1788"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评分因素</w:t>
            </w:r>
          </w:p>
        </w:tc>
        <w:tc>
          <w:tcPr>
            <w:tcW w:w="5624" w:type="dxa"/>
            <w:gridSpan w:val="2"/>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1798" w:type="dxa"/>
            <w:gridSpan w:val="2"/>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2.2.4(1)</w:t>
            </w:r>
          </w:p>
        </w:tc>
        <w:tc>
          <w:tcPr>
            <w:tcW w:w="1788"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lang w:eastAsia="zh-CN"/>
              </w:rPr>
              <w:t>商务及技术</w:t>
            </w:r>
            <w:r>
              <w:rPr>
                <w:rFonts w:hint="eastAsia" w:ascii="仿宋" w:hAnsi="仿宋" w:eastAsia="仿宋" w:cs="仿宋"/>
                <w:b w:val="0"/>
                <w:bCs/>
                <w:szCs w:val="21"/>
              </w:rPr>
              <w:t>评分</w:t>
            </w:r>
          </w:p>
        </w:tc>
        <w:tc>
          <w:tcPr>
            <w:tcW w:w="1009"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lang w:val="en-US" w:eastAsia="zh-CN"/>
              </w:rPr>
              <w:t>50</w:t>
            </w:r>
            <w:r>
              <w:rPr>
                <w:rFonts w:hint="eastAsia" w:ascii="仿宋" w:hAnsi="仿宋" w:eastAsia="仿宋" w:cs="仿宋"/>
                <w:b w:val="0"/>
                <w:bCs/>
                <w:szCs w:val="21"/>
              </w:rPr>
              <w:t>分</w:t>
            </w:r>
          </w:p>
        </w:tc>
        <w:tc>
          <w:tcPr>
            <w:tcW w:w="4615"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详见详细评分标准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98" w:type="dxa"/>
            <w:gridSpan w:val="2"/>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2.2.4(</w:t>
            </w:r>
            <w:r>
              <w:rPr>
                <w:rFonts w:hint="eastAsia" w:ascii="仿宋" w:hAnsi="仿宋" w:eastAsia="仿宋" w:cs="仿宋"/>
                <w:b w:val="0"/>
                <w:bCs/>
                <w:szCs w:val="21"/>
                <w:lang w:val="en-US" w:eastAsia="zh-CN"/>
              </w:rPr>
              <w:t>2</w:t>
            </w:r>
            <w:r>
              <w:rPr>
                <w:rFonts w:hint="eastAsia" w:ascii="仿宋" w:hAnsi="仿宋" w:eastAsia="仿宋" w:cs="仿宋"/>
                <w:b w:val="0"/>
                <w:bCs/>
                <w:szCs w:val="21"/>
              </w:rPr>
              <w:t>)</w:t>
            </w:r>
          </w:p>
        </w:tc>
        <w:tc>
          <w:tcPr>
            <w:tcW w:w="1788"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rPr>
              <w:t>评标价</w:t>
            </w:r>
            <w:r>
              <w:rPr>
                <w:rFonts w:hint="eastAsia" w:ascii="仿宋" w:hAnsi="仿宋" w:eastAsia="仿宋" w:cs="仿宋"/>
                <w:b w:val="0"/>
                <w:bCs/>
                <w:szCs w:val="21"/>
                <w:lang w:val="en-US" w:eastAsia="zh-CN"/>
              </w:rPr>
              <w:t>评分</w:t>
            </w:r>
          </w:p>
        </w:tc>
        <w:tc>
          <w:tcPr>
            <w:tcW w:w="5624" w:type="dxa"/>
            <w:gridSpan w:val="2"/>
            <w:vAlign w:val="center"/>
          </w:tcPr>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评标价得分：</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A.如果投标人的评标价&gt;评标基准价，则评标价得分=50-偏差率×100×E1；</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B.如果投标人的评标价≤评标基准价，则评标价得分=50+偏差率×100×E2；</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C.E1=0.5，是评标价每高于评标基准价一个百分点的扣分值；E2=0.25，是评标价每低于评标基准价一个百分点的扣分值。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7" w:hRule="atLeast"/>
          <w:jc w:val="center"/>
        </w:trPr>
        <w:tc>
          <w:tcPr>
            <w:tcW w:w="1798" w:type="dxa"/>
            <w:gridSpan w:val="2"/>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3.1.3</w:t>
            </w:r>
          </w:p>
        </w:tc>
        <w:tc>
          <w:tcPr>
            <w:tcW w:w="1788"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报价修正</w:t>
            </w:r>
          </w:p>
        </w:tc>
        <w:tc>
          <w:tcPr>
            <w:tcW w:w="5624" w:type="dxa"/>
            <w:gridSpan w:val="2"/>
            <w:vAlign w:val="center"/>
          </w:tcPr>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投标报价有算术错误的，评标委员会按以下原则对投标报价进行修正，修正的价格经投标人书面确认后具有约束力。投标人不接受修正价格的，评标委员会应当否决其投标。</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（1）投标文件中的大写金额与小写金额不一致的，以大写金额为准；</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（2）总价金额与单项报价累加的结果不一致的，以总价数为准，修正单项价。</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在保持投标总价不变的情况下，评标委员会有权要求投标人对不合理报价予以澄清并修正。对不合理报价的修正，招标人可根据评标委员会的要求延续至合同谈判阶段，投标人必须响应并予以确认。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1798" w:type="dxa"/>
            <w:gridSpan w:val="2"/>
            <w:vAlign w:val="center"/>
          </w:tcPr>
          <w:p>
            <w:pPr>
              <w:keepNext w:val="0"/>
              <w:keepLines w:val="0"/>
              <w:suppressLineNumbers w:val="0"/>
              <w:tabs>
                <w:tab w:val="left" w:pos="1778"/>
              </w:tabs>
              <w:spacing w:before="0" w:beforeAutospacing="0" w:after="0" w:afterAutospacing="0"/>
              <w:ind w:left="0" w:right="0"/>
              <w:jc w:val="center"/>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3.2.3</w:t>
            </w:r>
          </w:p>
        </w:tc>
        <w:tc>
          <w:tcPr>
            <w:tcW w:w="1788" w:type="dxa"/>
            <w:vAlign w:val="center"/>
          </w:tcPr>
          <w:p>
            <w:pPr>
              <w:keepNext w:val="0"/>
              <w:keepLines w:val="0"/>
              <w:suppressLineNumbers w:val="0"/>
              <w:tabs>
                <w:tab w:val="left" w:pos="1778"/>
              </w:tabs>
              <w:spacing w:before="0" w:beforeAutospacing="0" w:after="0" w:afterAutospacing="0"/>
              <w:ind w:left="0" w:right="0"/>
              <w:jc w:val="center"/>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综合评分</w:t>
            </w:r>
          </w:p>
        </w:tc>
        <w:tc>
          <w:tcPr>
            <w:tcW w:w="5624" w:type="dxa"/>
            <w:gridSpan w:val="2"/>
            <w:vAlign w:val="center"/>
          </w:tcPr>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综合得分=投标人的商务和技术得分+评标价得分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798" w:type="dxa"/>
            <w:gridSpan w:val="2"/>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3.4.1</w:t>
            </w:r>
          </w:p>
        </w:tc>
        <w:tc>
          <w:tcPr>
            <w:tcW w:w="1788"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评标结果</w:t>
            </w:r>
          </w:p>
        </w:tc>
        <w:tc>
          <w:tcPr>
            <w:tcW w:w="5624" w:type="dxa"/>
            <w:gridSpan w:val="2"/>
            <w:vAlign w:val="center"/>
          </w:tcPr>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评标委员会对各投标人按综合得分由高到低排序，依序推荐中标候选人，并标明排序，推荐的中标候选人数量为3名。综合评分相等时，评标委员会依次按以下优先顺序推荐中标候选人：</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（1）评标价低的投标人优先；</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（2）履约信誉得分较高的投标人优先；</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（3）</w:t>
            </w:r>
            <w:bookmarkStart w:id="8" w:name="_Hlk518562565"/>
            <w:r>
              <w:rPr>
                <w:rFonts w:hint="eastAsia" w:ascii="仿宋" w:hAnsi="仿宋" w:eastAsia="仿宋" w:cs="仿宋"/>
                <w:b w:val="0"/>
                <w:bCs/>
                <w:szCs w:val="21"/>
                <w:lang w:val="en-US" w:eastAsia="zh-CN"/>
              </w:rPr>
              <w:t>初步设计文件的优化建议和施工图设计技术方案得分较高的投标人优先</w:t>
            </w:r>
            <w:bookmarkEnd w:id="8"/>
            <w:r>
              <w:rPr>
                <w:rFonts w:hint="eastAsia" w:ascii="仿宋" w:hAnsi="仿宋" w:eastAsia="仿宋" w:cs="仿宋"/>
                <w:b w:val="0"/>
                <w:bCs/>
                <w:szCs w:val="21"/>
                <w:lang w:val="en-US" w:eastAsia="zh-CN"/>
              </w:rPr>
              <w:t>；</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（4）设计施工总承包管理方案得分较高的投标人优先；</w:t>
            </w:r>
          </w:p>
          <w:p>
            <w:pPr>
              <w:keepNext w:val="0"/>
              <w:keepLines w:val="0"/>
              <w:suppressLineNumbers w:val="0"/>
              <w:tabs>
                <w:tab w:val="left" w:pos="1778"/>
              </w:tabs>
              <w:spacing w:before="0" w:beforeAutospacing="0" w:after="0" w:afterAutospacing="0"/>
              <w:ind w:left="0" w:right="0"/>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（5）施工组织设计得分较高的投标人优先。</w:t>
            </w:r>
          </w:p>
        </w:tc>
      </w:tr>
    </w:tbl>
    <w:p>
      <w:pPr>
        <w:rPr>
          <w:rFonts w:hint="eastAsia" w:ascii="宋体" w:hAnsi="宋体"/>
          <w:b/>
          <w:color w:val="auto"/>
          <w:sz w:val="24"/>
          <w:highlight w:val="none"/>
        </w:rPr>
      </w:pPr>
    </w:p>
    <w:p>
      <w:pPr>
        <w:spacing w:line="360" w:lineRule="auto"/>
        <w:ind w:firstLine="482" w:firstLineChars="200"/>
        <w:rPr>
          <w:rFonts w:hint="eastAsia" w:ascii="仿宋" w:hAnsi="仿宋" w:eastAsia="仿宋"/>
          <w:sz w:val="28"/>
          <w:szCs w:val="28"/>
          <w:lang w:val="en-US" w:eastAsia="zh-CN"/>
        </w:rPr>
      </w:pPr>
      <w:r>
        <w:rPr>
          <w:rFonts w:ascii="宋体" w:hAnsi="宋体"/>
          <w:b/>
          <w:color w:val="auto"/>
          <w:sz w:val="24"/>
          <w:highlight w:val="none"/>
        </w:rPr>
        <w:br w:type="page"/>
      </w:r>
      <w:r>
        <w:rPr>
          <w:rFonts w:hint="eastAsia" w:ascii="仿宋" w:hAnsi="仿宋" w:eastAsia="仿宋"/>
          <w:sz w:val="28"/>
          <w:szCs w:val="28"/>
          <w:lang w:val="en-US" w:eastAsia="zh-CN"/>
        </w:rPr>
        <w:t>商务及技术文件</w:t>
      </w:r>
      <w:r>
        <w:rPr>
          <w:rFonts w:hint="eastAsia" w:ascii="仿宋" w:hAnsi="仿宋" w:eastAsia="仿宋"/>
          <w:sz w:val="28"/>
          <w:szCs w:val="28"/>
        </w:rPr>
        <w:t>详细评分标准：</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lang w:val="en-US" w:eastAsia="zh-CN"/>
        </w:rPr>
        <w:t>A</w:t>
      </w:r>
      <w:r>
        <w:rPr>
          <w:rFonts w:hint="eastAsia" w:ascii="仿宋" w:hAnsi="仿宋" w:eastAsia="仿宋"/>
          <w:sz w:val="28"/>
          <w:szCs w:val="28"/>
        </w:rPr>
        <w:t>项目管理机构：</w:t>
      </w:r>
      <w:r>
        <w:rPr>
          <w:rFonts w:hint="eastAsia" w:ascii="仿宋" w:hAnsi="仿宋" w:eastAsia="仿宋"/>
          <w:sz w:val="28"/>
          <w:szCs w:val="28"/>
          <w:lang w:val="en-US" w:eastAsia="zh-CN"/>
        </w:rPr>
        <w:t>5</w:t>
      </w:r>
      <w:r>
        <w:rPr>
          <w:rFonts w:hint="eastAsia" w:ascii="仿宋" w:hAnsi="仿宋" w:eastAsia="仿宋"/>
          <w:sz w:val="28"/>
          <w:szCs w:val="28"/>
        </w:rPr>
        <w:t>分</w:t>
      </w:r>
    </w:p>
    <w:p>
      <w:pPr>
        <w:spacing w:line="360" w:lineRule="auto"/>
        <w:ind w:firstLine="480" w:firstLineChars="200"/>
        <w:rPr>
          <w:rFonts w:hint="default" w:ascii="宋体" w:hAnsi="宋体" w:eastAsia="宋体" w:cs="Times New Roman"/>
          <w:b w:val="0"/>
          <w:bCs/>
          <w:color w:val="auto"/>
          <w:sz w:val="24"/>
          <w:highlight w:val="none"/>
          <w:lang w:val="en-US" w:eastAsia="zh-CN"/>
        </w:rPr>
      </w:pPr>
      <w:r>
        <w:rPr>
          <w:rFonts w:hint="eastAsia" w:ascii="宋体" w:hAnsi="宋体" w:eastAsia="宋体" w:cs="Times New Roman"/>
          <w:b w:val="0"/>
          <w:bCs/>
          <w:color w:val="auto"/>
          <w:sz w:val="24"/>
          <w:highlight w:val="none"/>
          <w:lang w:val="en-US" w:eastAsia="zh-CN"/>
        </w:rPr>
        <w:t>A-1</w:t>
      </w:r>
    </w:p>
    <w:tbl>
      <w:tblPr>
        <w:tblStyle w:val="8"/>
        <w:tblW w:w="906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725"/>
        <w:gridCol w:w="733"/>
        <w:gridCol w:w="4981"/>
        <w:gridCol w:w="162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725"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eastAsia="zh-CN"/>
              </w:rPr>
            </w:pPr>
            <w:r>
              <w:rPr>
                <w:rFonts w:hint="eastAsia" w:ascii="仿宋" w:hAnsi="仿宋" w:eastAsia="仿宋" w:cs="仿宋"/>
                <w:b w:val="0"/>
                <w:bCs/>
                <w:szCs w:val="21"/>
                <w:lang w:val="en-US" w:eastAsia="zh-CN"/>
              </w:rPr>
              <w:t>评分因素</w:t>
            </w:r>
          </w:p>
        </w:tc>
        <w:tc>
          <w:tcPr>
            <w:tcW w:w="733"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分值</w:t>
            </w:r>
          </w:p>
        </w:tc>
        <w:tc>
          <w:tcPr>
            <w:tcW w:w="4981"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评  分  标  准</w:t>
            </w:r>
          </w:p>
        </w:tc>
        <w:tc>
          <w:tcPr>
            <w:tcW w:w="1623"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725"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lang w:val="en-US" w:eastAsia="zh-CN"/>
              </w:rPr>
              <w:t>项目</w:t>
            </w:r>
            <w:r>
              <w:rPr>
                <w:rFonts w:hint="eastAsia" w:ascii="仿宋" w:hAnsi="仿宋" w:eastAsia="仿宋" w:cs="仿宋"/>
                <w:b w:val="0"/>
                <w:bCs/>
                <w:szCs w:val="21"/>
              </w:rPr>
              <w:t>管理机构</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lang w:val="en-US" w:eastAsia="zh-CN"/>
              </w:rPr>
              <w:t>设置</w:t>
            </w:r>
          </w:p>
        </w:tc>
        <w:tc>
          <w:tcPr>
            <w:tcW w:w="733"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eastAsia="zh-CN"/>
              </w:rPr>
            </w:pPr>
            <w:r>
              <w:rPr>
                <w:rFonts w:hint="eastAsia" w:ascii="仿宋" w:hAnsi="仿宋" w:eastAsia="仿宋" w:cs="仿宋"/>
                <w:b w:val="0"/>
                <w:bCs/>
                <w:szCs w:val="21"/>
                <w:lang w:val="en-US" w:eastAsia="zh-CN"/>
              </w:rPr>
              <w:t>1</w:t>
            </w:r>
          </w:p>
        </w:tc>
        <w:tc>
          <w:tcPr>
            <w:tcW w:w="4981"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lang w:val="en-US" w:eastAsia="zh-CN"/>
              </w:rPr>
              <w:t>设置合理，符合本工程实际，计0.9～1分；设置较为合理，较为符合本工程实际，计0.7～0.9分；有机构设置，基本符合本工程实际，计0.6～0.7分</w:t>
            </w:r>
            <w:r>
              <w:rPr>
                <w:rFonts w:hint="eastAsia" w:ascii="仿宋" w:hAnsi="仿宋" w:eastAsia="仿宋" w:cs="仿宋"/>
                <w:b w:val="0"/>
                <w:bCs/>
                <w:szCs w:val="21"/>
                <w:lang w:eastAsia="zh-CN"/>
              </w:rPr>
              <w:t>。</w:t>
            </w:r>
          </w:p>
        </w:tc>
        <w:tc>
          <w:tcPr>
            <w:tcW w:w="1623"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p>
        </w:tc>
      </w:tr>
    </w:tbl>
    <w:p>
      <w:pPr>
        <w:spacing w:line="360" w:lineRule="auto"/>
        <w:ind w:firstLine="480" w:firstLineChars="200"/>
        <w:rPr>
          <w:rFonts w:hint="default" w:ascii="宋体" w:hAnsi="宋体" w:eastAsia="宋体" w:cs="Times New Roman"/>
          <w:b w:val="0"/>
          <w:bCs/>
          <w:color w:val="auto"/>
          <w:sz w:val="24"/>
          <w:highlight w:val="none"/>
          <w:lang w:val="en-US" w:eastAsia="zh-CN"/>
        </w:rPr>
      </w:pPr>
      <w:r>
        <w:rPr>
          <w:rFonts w:hint="eastAsia" w:ascii="宋体" w:hAnsi="宋体" w:eastAsia="宋体" w:cs="Times New Roman"/>
          <w:b w:val="0"/>
          <w:bCs/>
          <w:color w:val="auto"/>
          <w:sz w:val="24"/>
          <w:highlight w:val="none"/>
          <w:lang w:val="en-US" w:eastAsia="zh-CN"/>
        </w:rPr>
        <w:t>A-2</w:t>
      </w:r>
    </w:p>
    <w:tbl>
      <w:tblPr>
        <w:tblStyle w:val="8"/>
        <w:tblW w:w="906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37"/>
        <w:gridCol w:w="1188"/>
        <w:gridCol w:w="733"/>
        <w:gridCol w:w="4981"/>
        <w:gridCol w:w="162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725" w:type="dxa"/>
            <w:gridSpan w:val="2"/>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eastAsia="zh-CN"/>
              </w:rPr>
            </w:pPr>
            <w:r>
              <w:rPr>
                <w:rFonts w:hint="eastAsia" w:ascii="仿宋" w:hAnsi="仿宋" w:eastAsia="仿宋" w:cs="仿宋"/>
                <w:b w:val="0"/>
                <w:bCs/>
                <w:szCs w:val="21"/>
                <w:lang w:val="en-US" w:eastAsia="zh-CN"/>
              </w:rPr>
              <w:t>评分因素</w:t>
            </w:r>
          </w:p>
        </w:tc>
        <w:tc>
          <w:tcPr>
            <w:tcW w:w="733"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分值</w:t>
            </w:r>
          </w:p>
        </w:tc>
        <w:tc>
          <w:tcPr>
            <w:tcW w:w="4981"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评  分  标  准</w:t>
            </w:r>
          </w:p>
        </w:tc>
        <w:tc>
          <w:tcPr>
            <w:tcW w:w="1623"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37" w:type="dxa"/>
            <w:vMerge w:val="restart"/>
            <w:tcBorders>
              <w:right w:val="single" w:color="auto" w:sz="4" w:space="0"/>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主要</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管理</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人员</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4分</w:t>
            </w:r>
          </w:p>
        </w:tc>
        <w:tc>
          <w:tcPr>
            <w:tcW w:w="1188" w:type="dxa"/>
            <w:tcBorders>
              <w:left w:val="single" w:color="auto" w:sz="4" w:space="0"/>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满足资格</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审查条件</w:t>
            </w:r>
          </w:p>
        </w:tc>
        <w:tc>
          <w:tcPr>
            <w:tcW w:w="733"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2.4</w:t>
            </w:r>
          </w:p>
        </w:tc>
        <w:tc>
          <w:tcPr>
            <w:tcW w:w="4981"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通过资格评审即得2.4分</w:t>
            </w:r>
          </w:p>
        </w:tc>
        <w:tc>
          <w:tcPr>
            <w:tcW w:w="1623"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537" w:type="dxa"/>
            <w:vMerge w:val="continue"/>
            <w:tcBorders>
              <w:right w:val="single" w:color="auto" w:sz="4" w:space="0"/>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p>
        </w:tc>
        <w:tc>
          <w:tcPr>
            <w:tcW w:w="1188" w:type="dxa"/>
            <w:vMerge w:val="restart"/>
            <w:tcBorders>
              <w:left w:val="single" w:color="auto" w:sz="4" w:space="0"/>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项目</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总负责人</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rPr>
              <w:t>加分</w:t>
            </w:r>
          </w:p>
        </w:tc>
        <w:tc>
          <w:tcPr>
            <w:tcW w:w="733" w:type="dxa"/>
            <w:vMerge w:val="restart"/>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0.4</w:t>
            </w:r>
          </w:p>
        </w:tc>
        <w:tc>
          <w:tcPr>
            <w:tcW w:w="4981"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满足资格审查条件业绩最低要求之外，近5年以来，担任过2个或以上新建或改扩建高速公路勘察设计合同段项目负责人加0.4分，最高加0.4分。</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或：</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近5年以来，担任过2个或以上新建或改扩建高速公路基桥涵工程施工合同段项目经理加0.4分，最高加0.4分。</w:t>
            </w:r>
          </w:p>
        </w:tc>
        <w:tc>
          <w:tcPr>
            <w:tcW w:w="1623"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独立投标的</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投标人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537" w:type="dxa"/>
            <w:vMerge w:val="continue"/>
            <w:tcBorders>
              <w:right w:val="single" w:color="auto" w:sz="4" w:space="0"/>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p>
        </w:tc>
        <w:tc>
          <w:tcPr>
            <w:tcW w:w="1188" w:type="dxa"/>
            <w:vMerge w:val="continue"/>
            <w:tcBorders>
              <w:left w:val="single" w:color="auto" w:sz="4" w:space="0"/>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p>
        </w:tc>
        <w:tc>
          <w:tcPr>
            <w:tcW w:w="733" w:type="dxa"/>
            <w:vMerge w:val="continue"/>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p>
        </w:tc>
        <w:tc>
          <w:tcPr>
            <w:tcW w:w="4981"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满足资格审查条件业绩最低要求之外，近5年以来，担任过2个或以上新建或改扩建高速公路勘察设计合同段负责人加0.4分，最高加0.4分。</w:t>
            </w:r>
          </w:p>
        </w:tc>
        <w:tc>
          <w:tcPr>
            <w:tcW w:w="1623"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rPr>
              <w:t>以联合体形式投标且</w:t>
            </w:r>
            <w:r>
              <w:rPr>
                <w:rFonts w:hint="eastAsia" w:ascii="仿宋" w:hAnsi="仿宋" w:eastAsia="仿宋" w:cs="仿宋"/>
                <w:b w:val="0"/>
                <w:bCs/>
                <w:szCs w:val="21"/>
                <w:lang w:val="en-US" w:eastAsia="zh-CN"/>
              </w:rPr>
              <w:t>承担施工图勘察设计专业分工联合体成员为联合体</w:t>
            </w:r>
            <w:r>
              <w:rPr>
                <w:rFonts w:hint="eastAsia" w:ascii="仿宋" w:hAnsi="仿宋" w:eastAsia="仿宋" w:cs="仿宋"/>
                <w:b w:val="0"/>
                <w:bCs/>
                <w:szCs w:val="21"/>
              </w:rPr>
              <w:t>牵头</w:t>
            </w:r>
            <w:r>
              <w:rPr>
                <w:rFonts w:hint="eastAsia" w:ascii="仿宋" w:hAnsi="仿宋" w:eastAsia="仿宋" w:cs="仿宋"/>
                <w:b w:val="0"/>
                <w:bCs/>
                <w:szCs w:val="21"/>
                <w:lang w:val="en-US" w:eastAsia="zh-CN"/>
              </w:rPr>
              <w:t>人</w:t>
            </w:r>
            <w:r>
              <w:rPr>
                <w:rFonts w:hint="eastAsia" w:ascii="仿宋" w:hAnsi="仿宋" w:eastAsia="仿宋" w:cs="仿宋"/>
                <w:b w:val="0"/>
                <w:bCs/>
                <w:szCs w:val="21"/>
              </w:rPr>
              <w:t>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537" w:type="dxa"/>
            <w:vMerge w:val="continue"/>
            <w:tcBorders>
              <w:right w:val="single" w:color="auto" w:sz="4" w:space="0"/>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p>
        </w:tc>
        <w:tc>
          <w:tcPr>
            <w:tcW w:w="1188" w:type="dxa"/>
            <w:vMerge w:val="continue"/>
            <w:tcBorders>
              <w:left w:val="single" w:color="auto" w:sz="4" w:space="0"/>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p>
        </w:tc>
        <w:tc>
          <w:tcPr>
            <w:tcW w:w="733" w:type="dxa"/>
            <w:vMerge w:val="continue"/>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p>
        </w:tc>
        <w:tc>
          <w:tcPr>
            <w:tcW w:w="4981"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满足资格审查条件业绩最低要求之外，近5年以来，担任过2个或以上新建或改扩建高速公路基桥涵工程施工合同段项目经理加0.4分，最高加0.4分</w:t>
            </w:r>
          </w:p>
        </w:tc>
        <w:tc>
          <w:tcPr>
            <w:tcW w:w="1623"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rPr>
              <w:t>以联合体形式投标且承担主体工程施工专业分工联合体成员为联合体牵头人时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537" w:type="dxa"/>
            <w:vMerge w:val="continue"/>
            <w:tcBorders>
              <w:right w:val="single" w:color="auto" w:sz="4" w:space="0"/>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p>
        </w:tc>
        <w:tc>
          <w:tcPr>
            <w:tcW w:w="1188" w:type="dxa"/>
            <w:tcBorders>
              <w:left w:val="single" w:color="auto" w:sz="4" w:space="0"/>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设计</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负责人</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rPr>
              <w:t>加分</w:t>
            </w:r>
          </w:p>
        </w:tc>
        <w:tc>
          <w:tcPr>
            <w:tcW w:w="733"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0.4</w:t>
            </w:r>
          </w:p>
        </w:tc>
        <w:tc>
          <w:tcPr>
            <w:tcW w:w="4981"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满足资格审查条件业绩最低要求之外，近5年以来，担任过2个或以上新建或改扩建高速公路勘察设计合同段项目负责人加0.4分，最高加0.4分。</w:t>
            </w:r>
          </w:p>
        </w:tc>
        <w:tc>
          <w:tcPr>
            <w:tcW w:w="1623"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537" w:type="dxa"/>
            <w:vMerge w:val="continue"/>
            <w:tcBorders>
              <w:right w:val="single" w:color="auto" w:sz="4" w:space="0"/>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p>
        </w:tc>
        <w:tc>
          <w:tcPr>
            <w:tcW w:w="1188" w:type="dxa"/>
            <w:tcBorders>
              <w:left w:val="single" w:color="auto" w:sz="4" w:space="0"/>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施工</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项目经理</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加分</w:t>
            </w:r>
          </w:p>
        </w:tc>
        <w:tc>
          <w:tcPr>
            <w:tcW w:w="733"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0.4</w:t>
            </w:r>
          </w:p>
        </w:tc>
        <w:tc>
          <w:tcPr>
            <w:tcW w:w="4981"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满足资格审查条件业绩最低要求之外，近5年以来，担任过2个或以上新建或改扩建高速公路基桥涵工程施工合同段项目经理加0.4分，最高加0.4分。</w:t>
            </w:r>
          </w:p>
        </w:tc>
        <w:tc>
          <w:tcPr>
            <w:tcW w:w="1623"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537" w:type="dxa"/>
            <w:vMerge w:val="continue"/>
            <w:tcBorders>
              <w:right w:val="single" w:color="auto" w:sz="4" w:space="0"/>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p>
        </w:tc>
        <w:tc>
          <w:tcPr>
            <w:tcW w:w="1188" w:type="dxa"/>
            <w:tcBorders>
              <w:left w:val="single" w:color="auto" w:sz="4" w:space="0"/>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施工</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lang w:val="en-US" w:eastAsia="zh-CN"/>
              </w:rPr>
              <w:t>项目</w:t>
            </w:r>
            <w:r>
              <w:rPr>
                <w:rFonts w:hint="eastAsia" w:ascii="仿宋" w:hAnsi="仿宋" w:eastAsia="仿宋" w:cs="仿宋"/>
                <w:b w:val="0"/>
                <w:bCs/>
                <w:szCs w:val="21"/>
              </w:rPr>
              <w:t>总工</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加分</w:t>
            </w:r>
          </w:p>
        </w:tc>
        <w:tc>
          <w:tcPr>
            <w:tcW w:w="733"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0.4</w:t>
            </w:r>
          </w:p>
        </w:tc>
        <w:tc>
          <w:tcPr>
            <w:tcW w:w="4981"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满足资格审查条件业绩最低要求之外，近5年以来，担任过2个或以上新建或改扩建高速公路基桥涵工程施工合同段项目总工加0.4分，最高加0.4分。</w:t>
            </w:r>
          </w:p>
        </w:tc>
        <w:tc>
          <w:tcPr>
            <w:tcW w:w="1623"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p>
        </w:tc>
      </w:tr>
    </w:tbl>
    <w:p>
      <w:pPr>
        <w:pStyle w:val="2"/>
        <w:keepNext w:val="0"/>
        <w:keepLines w:val="0"/>
        <w:pageBreakBefore w:val="0"/>
        <w:widowControl w:val="0"/>
        <w:kinsoku/>
        <w:wordWrap/>
        <w:overflowPunct/>
        <w:topLinePunct w:val="0"/>
        <w:autoSpaceDE/>
        <w:autoSpaceDN/>
        <w:bidi w:val="0"/>
        <w:adjustRightInd/>
        <w:snapToGrid/>
        <w:ind w:left="560" w:hanging="560" w:hangingChars="200"/>
        <w:textAlignment w:val="auto"/>
        <w:rPr>
          <w:rFonts w:hint="eastAsia" w:ascii="仿宋" w:hAnsi="仿宋" w:eastAsia="仿宋" w:cs="仿宋"/>
          <w:b w:val="0"/>
          <w:bCs/>
          <w:sz w:val="28"/>
          <w:szCs w:val="28"/>
          <w:highlight w:val="none"/>
          <w:lang w:val="en-US" w:eastAsia="zh-CN"/>
        </w:rPr>
      </w:pPr>
      <w:r>
        <w:rPr>
          <w:rFonts w:hint="eastAsia" w:ascii="仿宋" w:hAnsi="仿宋" w:eastAsia="仿宋" w:cs="仿宋"/>
          <w:b w:val="0"/>
          <w:bCs/>
          <w:sz w:val="28"/>
          <w:szCs w:val="28"/>
          <w:highlight w:val="none"/>
          <w:lang w:val="en-US" w:eastAsia="zh-CN"/>
        </w:rPr>
        <w:t>说明：项目总负责人兼任设计负责人或施工项目经理时，按对应分项评分标准进行评分并累加。</w:t>
      </w:r>
    </w:p>
    <w:p>
      <w:pPr>
        <w:spacing w:line="360" w:lineRule="auto"/>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B.业绩及技术能力：10分</w:t>
      </w:r>
    </w:p>
    <w:tbl>
      <w:tblPr>
        <w:tblStyle w:val="8"/>
        <w:tblW w:w="907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54"/>
        <w:gridCol w:w="656"/>
        <w:gridCol w:w="696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454"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eastAsia="zh-CN"/>
              </w:rPr>
            </w:pPr>
            <w:r>
              <w:rPr>
                <w:rFonts w:hint="eastAsia" w:ascii="仿宋" w:hAnsi="仿宋" w:eastAsia="仿宋" w:cs="仿宋"/>
                <w:b w:val="0"/>
                <w:bCs/>
                <w:szCs w:val="21"/>
                <w:lang w:val="en-US" w:eastAsia="zh-CN"/>
              </w:rPr>
              <w:t>评分因素</w:t>
            </w:r>
          </w:p>
        </w:tc>
        <w:tc>
          <w:tcPr>
            <w:tcW w:w="656"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分值</w:t>
            </w:r>
          </w:p>
        </w:tc>
        <w:tc>
          <w:tcPr>
            <w:tcW w:w="6961"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rPr>
              <w:t>评  分  标  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454" w:type="dxa"/>
            <w:tcBorders>
              <w:bottom w:val="single" w:color="auto" w:sz="4" w:space="0"/>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满足资格</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审查条件</w:t>
            </w:r>
          </w:p>
        </w:tc>
        <w:tc>
          <w:tcPr>
            <w:tcW w:w="656" w:type="dxa"/>
            <w:vAlign w:val="center"/>
          </w:tcPr>
          <w:p>
            <w:pPr>
              <w:keepNext w:val="0"/>
              <w:keepLines w:val="0"/>
              <w:suppressLineNumbers w:val="0"/>
              <w:tabs>
                <w:tab w:val="left" w:pos="1778"/>
              </w:tabs>
              <w:spacing w:before="0" w:beforeAutospacing="0" w:after="0" w:afterAutospacing="0"/>
              <w:ind w:left="0" w:right="0"/>
              <w:jc w:val="center"/>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6</w:t>
            </w:r>
          </w:p>
        </w:tc>
        <w:tc>
          <w:tcPr>
            <w:tcW w:w="6961"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通过资格评审即得6分。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1454" w:type="dxa"/>
            <w:tcBorders>
              <w:top w:val="single" w:color="auto" w:sz="4" w:space="0"/>
            </w:tcBorders>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设计业绩</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加分</w:t>
            </w:r>
          </w:p>
        </w:tc>
        <w:tc>
          <w:tcPr>
            <w:tcW w:w="656" w:type="dxa"/>
            <w:vAlign w:val="center"/>
          </w:tcPr>
          <w:p>
            <w:pPr>
              <w:keepNext w:val="0"/>
              <w:keepLines w:val="0"/>
              <w:suppressLineNumbers w:val="0"/>
              <w:tabs>
                <w:tab w:val="left" w:pos="1778"/>
              </w:tabs>
              <w:spacing w:before="0" w:beforeAutospacing="0" w:after="0" w:afterAutospacing="0"/>
              <w:ind w:left="0" w:right="0"/>
              <w:jc w:val="center"/>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1</w:t>
            </w:r>
          </w:p>
        </w:tc>
        <w:tc>
          <w:tcPr>
            <w:tcW w:w="6961"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满足资格审查条件业绩最低要求之外，近5年以来，完成的新建或改扩建高速公路项目施工图勘察设计合同段业绩（应同时包括路基桥涵、路面、机电、交通安全设施、房建工程勘察设计工作内容），每增加1个加0.5分，最高加1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1454"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施工业绩</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加分</w:t>
            </w:r>
          </w:p>
        </w:tc>
        <w:tc>
          <w:tcPr>
            <w:tcW w:w="656"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w:t>
            </w:r>
          </w:p>
        </w:tc>
        <w:tc>
          <w:tcPr>
            <w:tcW w:w="6961"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lang w:val="en-US" w:eastAsia="zh-CN"/>
              </w:rPr>
              <w:t>满足资格审查条件业绩最低要求之外，近5年以来，完成的新建或改扩建高速公路路基桥涵工程施工合同段业绩，每增加1个加0.5分，最多加1分。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1454"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设计施工</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总承包</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业绩加分</w:t>
            </w:r>
          </w:p>
        </w:tc>
        <w:tc>
          <w:tcPr>
            <w:tcW w:w="656"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w:t>
            </w:r>
          </w:p>
        </w:tc>
        <w:tc>
          <w:tcPr>
            <w:tcW w:w="6961"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rPr>
            </w:pPr>
            <w:r>
              <w:rPr>
                <w:rFonts w:hint="eastAsia" w:ascii="仿宋" w:hAnsi="仿宋" w:eastAsia="仿宋" w:cs="仿宋"/>
                <w:b w:val="0"/>
                <w:bCs/>
                <w:szCs w:val="21"/>
                <w:lang w:val="en-US" w:eastAsia="zh-CN"/>
              </w:rPr>
              <w:t>满足资格审查条件业绩最低要求之外，近5年以来，独立投标人或联合体牵头人完成的新建或改扩建高速公路设计施工总承包项目业绩，每增加1个加1分，最多加1分。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1454"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技术能力</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加分</w:t>
            </w:r>
          </w:p>
        </w:tc>
        <w:tc>
          <w:tcPr>
            <w:tcW w:w="656"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w:t>
            </w:r>
          </w:p>
        </w:tc>
        <w:tc>
          <w:tcPr>
            <w:tcW w:w="6961"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rPr>
              <w:t>投标人近5年以来，获得的与公路建设项目有关的国家级工法、专利（发明专利或实用新型专利）、国家或省级科学技术进步奖或优质工程奖，主编或参编过的国家、行业或地方标准，每有一项加0.25分，最多加1分。</w:t>
            </w:r>
          </w:p>
        </w:tc>
      </w:tr>
    </w:tbl>
    <w:p>
      <w:pPr>
        <w:pStyle w:val="2"/>
        <w:keepNext w:val="0"/>
        <w:keepLines w:val="0"/>
        <w:pageBreakBefore w:val="0"/>
        <w:widowControl w:val="0"/>
        <w:kinsoku/>
        <w:wordWrap/>
        <w:overflowPunct/>
        <w:topLinePunct w:val="0"/>
        <w:autoSpaceDE/>
        <w:autoSpaceDN/>
        <w:bidi w:val="0"/>
        <w:adjustRightInd/>
        <w:snapToGrid/>
        <w:ind w:left="560" w:hanging="560" w:hangingChars="200"/>
        <w:textAlignment w:val="auto"/>
        <w:rPr>
          <w:rFonts w:hint="default" w:ascii="仿宋" w:hAnsi="仿宋" w:eastAsia="仿宋" w:cs="Times New Roman"/>
          <w:sz w:val="28"/>
          <w:szCs w:val="28"/>
          <w:lang w:val="en-US" w:eastAsia="zh-CN"/>
        </w:rPr>
      </w:pPr>
      <w:r>
        <w:rPr>
          <w:rFonts w:hint="eastAsia" w:ascii="仿宋" w:hAnsi="仿宋" w:eastAsia="仿宋" w:cs="仿宋"/>
          <w:b w:val="0"/>
          <w:bCs/>
          <w:sz w:val="28"/>
          <w:szCs w:val="28"/>
          <w:highlight w:val="none"/>
          <w:lang w:val="en-US" w:eastAsia="zh-CN"/>
        </w:rPr>
        <w:t>说明：以联合体形式投标的，按承担各专业分工的联合体成员相应业绩累计之和进行各分项评分，各分项得分之和为联合体业绩得分。</w:t>
      </w:r>
    </w:p>
    <w:p>
      <w:pPr>
        <w:keepNext w:val="0"/>
        <w:keepLines w:val="0"/>
        <w:pageBreakBefore w:val="0"/>
        <w:widowControl w:val="0"/>
        <w:kinsoku/>
        <w:wordWrap/>
        <w:overflowPunct/>
        <w:topLinePunct w:val="0"/>
        <w:autoSpaceDE/>
        <w:autoSpaceDN/>
        <w:bidi w:val="0"/>
        <w:adjustRightInd/>
        <w:snapToGrid/>
        <w:spacing w:before="0" w:beforeLines="100" w:line="240" w:lineRule="auto"/>
        <w:ind w:firstLine="560" w:firstLineChars="200"/>
        <w:textAlignment w:val="auto"/>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C.初步设计文件的优化建议和设计技术方案：10分</w:t>
      </w:r>
    </w:p>
    <w:tbl>
      <w:tblPr>
        <w:tblStyle w:val="8"/>
        <w:tblW w:w="907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215"/>
        <w:gridCol w:w="884"/>
        <w:gridCol w:w="497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215"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评分因素</w:t>
            </w:r>
          </w:p>
        </w:tc>
        <w:tc>
          <w:tcPr>
            <w:tcW w:w="884"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分值</w:t>
            </w:r>
          </w:p>
        </w:tc>
        <w:tc>
          <w:tcPr>
            <w:tcW w:w="4972"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评  分  标  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15"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初步设计优化建议的工作方案和工作思路</w:t>
            </w:r>
          </w:p>
        </w:tc>
        <w:tc>
          <w:tcPr>
            <w:tcW w:w="884"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kern w:val="2"/>
                <w:sz w:val="21"/>
                <w:szCs w:val="21"/>
                <w:lang w:val="en-US" w:eastAsia="zh-CN" w:bidi="ar"/>
              </w:rPr>
              <w:t>2</w:t>
            </w:r>
          </w:p>
        </w:tc>
        <w:tc>
          <w:tcPr>
            <w:tcW w:w="4972"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初步设计优化建议思路合理可行计1.8～2分；一般计1.4～1.8分；基本满足要求计1.2～1.4分。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15"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各项工程初步设计优化建议</w:t>
            </w:r>
          </w:p>
        </w:tc>
        <w:tc>
          <w:tcPr>
            <w:tcW w:w="884"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kern w:val="2"/>
                <w:sz w:val="21"/>
                <w:szCs w:val="21"/>
                <w:lang w:val="en-US" w:eastAsia="zh-CN" w:bidi="ar"/>
              </w:rPr>
              <w:t>3</w:t>
            </w:r>
          </w:p>
        </w:tc>
        <w:tc>
          <w:tcPr>
            <w:tcW w:w="4972"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建议合理可行计2.7～3分；一般计2.1～2.7分；基本满足要求计1.8～2.1分。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15"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对招标项目的理解和总体设计思路</w:t>
            </w:r>
          </w:p>
        </w:tc>
        <w:tc>
          <w:tcPr>
            <w:tcW w:w="884"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kern w:val="2"/>
                <w:sz w:val="21"/>
                <w:szCs w:val="21"/>
                <w:lang w:val="en-US" w:eastAsia="zh-CN" w:bidi="ar"/>
              </w:rPr>
              <w:t>1</w:t>
            </w:r>
          </w:p>
        </w:tc>
        <w:tc>
          <w:tcPr>
            <w:tcW w:w="4972"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理解、思路符合要求计划合理可行计0.9～1分；一般计0.7～0.9分；基本满足要求计0.6～0.7分。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15" w:type="dxa"/>
            <w:tcBorders>
              <w:top w:val="single" w:color="auto" w:sz="6" w:space="0"/>
              <w:left w:val="single" w:color="auto" w:sz="6" w:space="0"/>
              <w:bottom w:val="single" w:color="auto" w:sz="6" w:space="0"/>
              <w:right w:val="single" w:color="auto" w:sz="6" w:space="0"/>
            </w:tcBorders>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对招标项目施工图设计的特点、关键性技术问题的认识及其对策措施</w:t>
            </w:r>
          </w:p>
        </w:tc>
        <w:tc>
          <w:tcPr>
            <w:tcW w:w="88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kern w:val="2"/>
                <w:sz w:val="21"/>
                <w:szCs w:val="21"/>
                <w:lang w:val="en-US" w:eastAsia="zh-CN" w:bidi="ar"/>
              </w:rPr>
              <w:t>1</w:t>
            </w:r>
          </w:p>
        </w:tc>
        <w:tc>
          <w:tcPr>
            <w:tcW w:w="4972" w:type="dxa"/>
            <w:tcBorders>
              <w:top w:val="single" w:color="auto" w:sz="6" w:space="0"/>
              <w:left w:val="single" w:color="auto" w:sz="6" w:space="0"/>
              <w:bottom w:val="single" w:color="auto" w:sz="6" w:space="0"/>
              <w:right w:val="single" w:color="auto" w:sz="6" w:space="0"/>
            </w:tcBorders>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认识到位、对策措施合理可行计0.9～1分；一般计0.7～0.9分；基本满足要求计0.6～0.7分。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15" w:type="dxa"/>
            <w:tcBorders>
              <w:top w:val="single" w:color="auto" w:sz="6" w:space="0"/>
              <w:left w:val="single" w:color="auto" w:sz="6" w:space="0"/>
              <w:bottom w:val="single" w:color="auto" w:sz="6" w:space="0"/>
              <w:right w:val="single" w:color="auto" w:sz="6" w:space="0"/>
            </w:tcBorders>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地质详勘工作的工作措施</w:t>
            </w:r>
          </w:p>
        </w:tc>
        <w:tc>
          <w:tcPr>
            <w:tcW w:w="88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kern w:val="2"/>
                <w:sz w:val="21"/>
                <w:szCs w:val="21"/>
                <w:lang w:val="en-US" w:eastAsia="zh-CN" w:bidi="ar"/>
              </w:rPr>
              <w:t>1</w:t>
            </w:r>
          </w:p>
        </w:tc>
        <w:tc>
          <w:tcPr>
            <w:tcW w:w="4972" w:type="dxa"/>
            <w:tcBorders>
              <w:top w:val="single" w:color="auto" w:sz="6" w:space="0"/>
              <w:left w:val="single" w:color="auto" w:sz="6" w:space="0"/>
              <w:bottom w:val="single" w:color="auto" w:sz="6" w:space="0"/>
              <w:right w:val="single" w:color="auto" w:sz="6" w:space="0"/>
            </w:tcBorders>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分析准确、措施合理可行计0.9～1分；一般计0.7～0.9分；基本满足要求计0.6～0.7分。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15" w:type="dxa"/>
            <w:tcBorders>
              <w:top w:val="single" w:color="auto" w:sz="6" w:space="0"/>
              <w:left w:val="single" w:color="auto" w:sz="6" w:space="0"/>
              <w:bottom w:val="single" w:color="auto" w:sz="6" w:space="0"/>
              <w:right w:val="single" w:color="auto" w:sz="6" w:space="0"/>
            </w:tcBorders>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施工图设计的工作量及计划安排</w:t>
            </w:r>
          </w:p>
        </w:tc>
        <w:tc>
          <w:tcPr>
            <w:tcW w:w="88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kern w:val="2"/>
                <w:sz w:val="21"/>
                <w:szCs w:val="21"/>
                <w:lang w:val="en-US" w:eastAsia="zh-CN" w:bidi="ar"/>
              </w:rPr>
              <w:t>1</w:t>
            </w:r>
          </w:p>
        </w:tc>
        <w:tc>
          <w:tcPr>
            <w:tcW w:w="4972" w:type="dxa"/>
            <w:tcBorders>
              <w:top w:val="single" w:color="auto" w:sz="6" w:space="0"/>
              <w:left w:val="single" w:color="auto" w:sz="6" w:space="0"/>
              <w:bottom w:val="single" w:color="auto" w:sz="6" w:space="0"/>
              <w:right w:val="single" w:color="auto" w:sz="6" w:space="0"/>
            </w:tcBorders>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计划安排合理可行计0.9～1分；一般计0.7～0.9分；基本满足要求计0.6～0.7分。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15" w:type="dxa"/>
            <w:tcBorders>
              <w:top w:val="single" w:color="auto" w:sz="6" w:space="0"/>
              <w:left w:val="single" w:color="auto" w:sz="6" w:space="0"/>
              <w:bottom w:val="single" w:color="auto" w:sz="6" w:space="0"/>
              <w:right w:val="single" w:color="auto" w:sz="6" w:space="0"/>
            </w:tcBorders>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施工图设计的质量保证措施、进度保证措施</w:t>
            </w:r>
          </w:p>
        </w:tc>
        <w:tc>
          <w:tcPr>
            <w:tcW w:w="88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kern w:val="2"/>
                <w:sz w:val="21"/>
                <w:szCs w:val="21"/>
                <w:lang w:val="en-US" w:eastAsia="zh-CN" w:bidi="ar"/>
              </w:rPr>
              <w:t>1</w:t>
            </w:r>
          </w:p>
        </w:tc>
        <w:tc>
          <w:tcPr>
            <w:tcW w:w="4972" w:type="dxa"/>
            <w:tcBorders>
              <w:top w:val="single" w:color="auto" w:sz="6" w:space="0"/>
              <w:left w:val="single" w:color="auto" w:sz="6" w:space="0"/>
              <w:bottom w:val="single" w:color="auto" w:sz="6" w:space="0"/>
              <w:right w:val="single" w:color="auto" w:sz="6" w:space="0"/>
            </w:tcBorders>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方案完善、措施合理可行计0.9～1分；一般计0.7～0.9分；基本满足要求计0.6～0.7分。</w:t>
            </w:r>
          </w:p>
        </w:tc>
      </w:tr>
    </w:tbl>
    <w:p>
      <w:pPr>
        <w:spacing w:line="360" w:lineRule="auto"/>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D.设计施工总承包管理方案：10分</w:t>
      </w:r>
    </w:p>
    <w:tbl>
      <w:tblPr>
        <w:tblStyle w:val="8"/>
        <w:tblW w:w="907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266"/>
        <w:gridCol w:w="765"/>
        <w:gridCol w:w="504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266"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评分因素</w:t>
            </w:r>
          </w:p>
        </w:tc>
        <w:tc>
          <w:tcPr>
            <w:tcW w:w="765"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分值</w:t>
            </w:r>
          </w:p>
        </w:tc>
        <w:tc>
          <w:tcPr>
            <w:tcW w:w="5040"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评  分  标  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66"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kern w:val="2"/>
                <w:sz w:val="21"/>
                <w:szCs w:val="21"/>
                <w:lang w:val="en-US" w:eastAsia="zh-CN" w:bidi="ar"/>
              </w:rPr>
              <w:t>本工程设计施工总承包管理制度与体系建设方案</w:t>
            </w:r>
          </w:p>
        </w:tc>
        <w:tc>
          <w:tcPr>
            <w:tcW w:w="765"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kern w:val="2"/>
                <w:sz w:val="21"/>
                <w:szCs w:val="21"/>
                <w:lang w:val="en-US" w:eastAsia="zh-CN" w:bidi="ar"/>
              </w:rPr>
              <w:t>2</w:t>
            </w:r>
          </w:p>
        </w:tc>
        <w:tc>
          <w:tcPr>
            <w:tcW w:w="5040"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kern w:val="2"/>
                <w:sz w:val="21"/>
                <w:szCs w:val="21"/>
                <w:lang w:val="en-US" w:eastAsia="zh-CN" w:bidi="ar"/>
              </w:rPr>
              <w:t>方案完善、合理可行</w:t>
            </w:r>
            <w:r>
              <w:rPr>
                <w:rFonts w:hint="eastAsia" w:ascii="仿宋" w:hAnsi="仿宋" w:eastAsia="仿宋" w:cs="仿宋"/>
                <w:spacing w:val="-6"/>
                <w:kern w:val="2"/>
                <w:sz w:val="21"/>
                <w:szCs w:val="21"/>
                <w:lang w:val="en-US" w:eastAsia="zh-CN" w:bidi="ar"/>
              </w:rPr>
              <w:t>计1.8～2分；一般计1.4～1.8分；基本满足要求计1.2～1.4分。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66"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专项设计与施工之间协调的管理方案</w:t>
            </w:r>
          </w:p>
        </w:tc>
        <w:tc>
          <w:tcPr>
            <w:tcW w:w="765"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kern w:val="2"/>
                <w:sz w:val="21"/>
                <w:szCs w:val="21"/>
                <w:lang w:val="en-US" w:eastAsia="zh-CN" w:bidi="ar"/>
              </w:rPr>
              <w:t>2</w:t>
            </w:r>
          </w:p>
        </w:tc>
        <w:tc>
          <w:tcPr>
            <w:tcW w:w="5040"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kern w:val="2"/>
                <w:sz w:val="21"/>
                <w:szCs w:val="21"/>
                <w:lang w:val="en-US" w:eastAsia="zh-CN" w:bidi="ar"/>
              </w:rPr>
              <w:t>方案完善、合理可行</w:t>
            </w:r>
            <w:r>
              <w:rPr>
                <w:rFonts w:hint="eastAsia" w:ascii="仿宋" w:hAnsi="仿宋" w:eastAsia="仿宋" w:cs="仿宋"/>
                <w:spacing w:val="-6"/>
                <w:kern w:val="2"/>
                <w:sz w:val="21"/>
                <w:szCs w:val="21"/>
                <w:lang w:val="en-US" w:eastAsia="zh-CN" w:bidi="ar"/>
              </w:rPr>
              <w:t>计1.8～2分；一般计1.4～1.8分；基本满足要求计1.2～1.4分。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66"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设计施工总承包质量、进度与安全管理方案</w:t>
            </w:r>
          </w:p>
        </w:tc>
        <w:tc>
          <w:tcPr>
            <w:tcW w:w="765"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kern w:val="2"/>
                <w:sz w:val="21"/>
                <w:szCs w:val="21"/>
                <w:lang w:val="en-US" w:eastAsia="zh-CN" w:bidi="ar"/>
              </w:rPr>
              <w:t>2</w:t>
            </w:r>
          </w:p>
        </w:tc>
        <w:tc>
          <w:tcPr>
            <w:tcW w:w="5040"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kern w:val="2"/>
                <w:sz w:val="21"/>
                <w:szCs w:val="21"/>
                <w:lang w:val="en-US" w:eastAsia="zh-CN" w:bidi="ar"/>
              </w:rPr>
              <w:t>方案完善、合理可行</w:t>
            </w:r>
            <w:r>
              <w:rPr>
                <w:rFonts w:hint="eastAsia" w:ascii="仿宋" w:hAnsi="仿宋" w:eastAsia="仿宋" w:cs="仿宋"/>
                <w:spacing w:val="-6"/>
                <w:kern w:val="2"/>
                <w:sz w:val="21"/>
                <w:szCs w:val="21"/>
                <w:lang w:val="en-US" w:eastAsia="zh-CN" w:bidi="ar"/>
              </w:rPr>
              <w:t>计1.8～2分；一般计1.4～1.8分；基本满足要求计1.2～1.4分。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66"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设计施工总承包合同管理方案</w:t>
            </w:r>
          </w:p>
        </w:tc>
        <w:tc>
          <w:tcPr>
            <w:tcW w:w="765"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kern w:val="2"/>
                <w:sz w:val="21"/>
                <w:szCs w:val="21"/>
                <w:lang w:val="en-US" w:eastAsia="zh-CN" w:bidi="ar"/>
              </w:rPr>
              <w:t>2</w:t>
            </w:r>
          </w:p>
        </w:tc>
        <w:tc>
          <w:tcPr>
            <w:tcW w:w="5040"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kern w:val="2"/>
                <w:sz w:val="21"/>
                <w:szCs w:val="21"/>
                <w:lang w:val="en-US" w:eastAsia="zh-CN" w:bidi="ar"/>
              </w:rPr>
              <w:t>方案完善、合理可行</w:t>
            </w:r>
            <w:r>
              <w:rPr>
                <w:rFonts w:hint="eastAsia" w:ascii="仿宋" w:hAnsi="仿宋" w:eastAsia="仿宋" w:cs="仿宋"/>
                <w:spacing w:val="-6"/>
                <w:kern w:val="2"/>
                <w:sz w:val="21"/>
                <w:szCs w:val="21"/>
                <w:lang w:val="en-US" w:eastAsia="zh-CN" w:bidi="ar"/>
              </w:rPr>
              <w:t>计1.8～2分；一般计1.4～1.8分；基本满足要求计1.2～1.4分。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本工程设计施工总承包管理重点难点分析与解决方案</w:t>
            </w:r>
          </w:p>
        </w:tc>
        <w:tc>
          <w:tcPr>
            <w:tcW w:w="765" w:type="dxa"/>
            <w:tcBorders>
              <w:top w:val="single" w:color="auto" w:sz="6" w:space="0"/>
              <w:left w:val="single" w:color="auto" w:sz="6" w:space="0"/>
              <w:bottom w:val="single" w:color="auto" w:sz="6" w:space="0"/>
              <w:right w:val="single" w:color="auto" w:sz="6" w:space="0"/>
            </w:tcBorders>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kern w:val="2"/>
                <w:sz w:val="21"/>
                <w:szCs w:val="21"/>
                <w:lang w:val="en-US" w:eastAsia="zh-CN" w:bidi="ar"/>
              </w:rPr>
              <w:t>2</w:t>
            </w:r>
          </w:p>
        </w:tc>
        <w:tc>
          <w:tcPr>
            <w:tcW w:w="504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分析准确、方案合理可行计1.8～2分；一般计1.4～1.8分；基本满足要求计1.2～1.4分。</w:t>
            </w:r>
          </w:p>
        </w:tc>
      </w:tr>
    </w:tbl>
    <w:p>
      <w:pPr>
        <w:spacing w:line="360" w:lineRule="auto"/>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E.施工组织设计：10分</w:t>
      </w:r>
    </w:p>
    <w:tbl>
      <w:tblPr>
        <w:tblStyle w:val="8"/>
        <w:tblW w:w="907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243"/>
        <w:gridCol w:w="720"/>
        <w:gridCol w:w="510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243"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评分因素</w:t>
            </w:r>
          </w:p>
        </w:tc>
        <w:tc>
          <w:tcPr>
            <w:tcW w:w="720"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分值</w:t>
            </w:r>
          </w:p>
        </w:tc>
        <w:tc>
          <w:tcPr>
            <w:tcW w:w="5108"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评  分  标  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3243"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总体施工组织布置及规划</w:t>
            </w:r>
          </w:p>
        </w:tc>
        <w:tc>
          <w:tcPr>
            <w:tcW w:w="720"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2</w:t>
            </w:r>
          </w:p>
        </w:tc>
        <w:tc>
          <w:tcPr>
            <w:tcW w:w="5108"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总体组织布置及规划合理可行计1.8～2分；一般计1.4～1.8分；基本满足要求计1.2～1.4分。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3243"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主要工程项目的施工方案、方法与技术措施（特别对重点、关键和难点工程）</w:t>
            </w:r>
          </w:p>
        </w:tc>
        <w:tc>
          <w:tcPr>
            <w:tcW w:w="720"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2</w:t>
            </w:r>
          </w:p>
        </w:tc>
        <w:tc>
          <w:tcPr>
            <w:tcW w:w="5108"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施工方案、方法与技术措施合理可行，符合本工程实际，重点难点突出计1.8～2分；一般计1.4～1.8分；基本满足要求计1.2～1.4分。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3243"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工期保证体系及保证措施</w:t>
            </w:r>
          </w:p>
        </w:tc>
        <w:tc>
          <w:tcPr>
            <w:tcW w:w="720"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1</w:t>
            </w:r>
          </w:p>
        </w:tc>
        <w:tc>
          <w:tcPr>
            <w:tcW w:w="5108"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管理体系健全、措施合理可行计0.9～1分；一般计0.7～0.9分；基本满足要求计0.6～0.7分。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3243"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质量管理体系及保证措施</w:t>
            </w:r>
          </w:p>
        </w:tc>
        <w:tc>
          <w:tcPr>
            <w:tcW w:w="720"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1</w:t>
            </w:r>
          </w:p>
        </w:tc>
        <w:tc>
          <w:tcPr>
            <w:tcW w:w="5108"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管理体系健全、措施合理可行计0.9～1分；一般计0.7～0.9分；基本满足要求计0.6～0.7分。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3243"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安全生产管理体系及保证措施</w:t>
            </w:r>
          </w:p>
        </w:tc>
        <w:tc>
          <w:tcPr>
            <w:tcW w:w="720"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1</w:t>
            </w:r>
          </w:p>
        </w:tc>
        <w:tc>
          <w:tcPr>
            <w:tcW w:w="5108"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管理体系健全、措施合理可行计0.9～1分；一般计0.7～0.9分；基本满足要求计0.6～0.7分。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3243"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文明施工管理体系及保证措施</w:t>
            </w:r>
          </w:p>
        </w:tc>
        <w:tc>
          <w:tcPr>
            <w:tcW w:w="720"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1</w:t>
            </w:r>
          </w:p>
        </w:tc>
        <w:tc>
          <w:tcPr>
            <w:tcW w:w="5108"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管理体系健全、措施合理可行计0.9～1分；一般计0.7～0.9分；基本满足要求计0.6～0.7分。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3243"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本工程风险预测与防范，事故应急预案</w:t>
            </w:r>
          </w:p>
        </w:tc>
        <w:tc>
          <w:tcPr>
            <w:tcW w:w="720"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2</w:t>
            </w:r>
          </w:p>
        </w:tc>
        <w:tc>
          <w:tcPr>
            <w:tcW w:w="5108"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仿宋" w:hAnsi="仿宋" w:eastAsia="仿宋" w:cs="仿宋"/>
                <w:b w:val="0"/>
                <w:bCs/>
                <w:szCs w:val="21"/>
                <w:lang w:val="en-US" w:eastAsia="zh-CN"/>
              </w:rPr>
            </w:pPr>
            <w:r>
              <w:rPr>
                <w:rFonts w:hint="eastAsia" w:ascii="仿宋" w:hAnsi="仿宋" w:eastAsia="仿宋" w:cs="仿宋"/>
                <w:spacing w:val="-6"/>
                <w:kern w:val="2"/>
                <w:sz w:val="21"/>
                <w:szCs w:val="21"/>
                <w:lang w:val="en-US" w:eastAsia="zh-CN" w:bidi="ar"/>
              </w:rPr>
              <w:t>预测分析全面，防范措施、应急预案合理可行，符合本工程实际计1.8～2分；一般计1.4～1.8分；基本满足要求计1.2～1.4分。</w:t>
            </w:r>
          </w:p>
        </w:tc>
      </w:tr>
    </w:tbl>
    <w:p>
      <w:pPr>
        <w:spacing w:line="360" w:lineRule="auto"/>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F.履约信誉：5分</w:t>
      </w:r>
    </w:p>
    <w:tbl>
      <w:tblPr>
        <w:tblStyle w:val="8"/>
        <w:tblW w:w="907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15"/>
        <w:gridCol w:w="817"/>
        <w:gridCol w:w="673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5"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评分项目</w:t>
            </w:r>
          </w:p>
        </w:tc>
        <w:tc>
          <w:tcPr>
            <w:tcW w:w="817"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分值</w:t>
            </w:r>
          </w:p>
        </w:tc>
        <w:tc>
          <w:tcPr>
            <w:tcW w:w="6739"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评分因素细分项及评分标准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806" w:hRule="atLeast"/>
          <w:jc w:val="center"/>
        </w:trPr>
        <w:tc>
          <w:tcPr>
            <w:tcW w:w="1515"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信用评价</w:t>
            </w:r>
          </w:p>
        </w:tc>
        <w:tc>
          <w:tcPr>
            <w:tcW w:w="817"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5</w:t>
            </w:r>
          </w:p>
        </w:tc>
        <w:tc>
          <w:tcPr>
            <w:tcW w:w="6739" w:type="dxa"/>
            <w:vAlign w:val="center"/>
          </w:tcPr>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根据陕西省交通运输厅《关于公布陕西省2021年度高速公路设计施工及公路监理从业企业信用评价结果应用的通知》（陕交函[2022]619号）文件规定：</w:t>
            </w:r>
          </w:p>
          <w:p>
            <w:pPr>
              <w:keepNext w:val="0"/>
              <w:keepLines w:val="0"/>
              <w:suppressLineNumbers w:val="0"/>
              <w:tabs>
                <w:tab w:val="left" w:pos="1778"/>
              </w:tabs>
              <w:spacing w:before="0" w:beforeAutospacing="0" w:after="0" w:afterAutospacing="0"/>
              <w:ind w:left="0" w:right="0"/>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独立投标人或联合体牵头人被评为高速公路设计企业或主体工程施工类别AA级企业得5分；A级企业得3分；B级、C级企不得分。。</w:t>
            </w:r>
          </w:p>
        </w:tc>
      </w:tr>
    </w:tbl>
    <w:p>
      <w:pPr>
        <w:spacing w:line="360" w:lineRule="auto"/>
        <w:ind w:firstLine="480" w:firstLineChars="200"/>
        <w:rPr>
          <w:rFonts w:hint="eastAsia" w:ascii="仿宋" w:hAnsi="仿宋" w:eastAsia="仿宋" w:cs="Times New Roman"/>
          <w:sz w:val="24"/>
          <w:szCs w:val="24"/>
          <w:lang w:val="en-US" w:eastAsia="zh-CN"/>
        </w:rPr>
      </w:pPr>
      <w:r>
        <w:rPr>
          <w:rFonts w:hint="eastAsia" w:ascii="仿宋" w:hAnsi="仿宋" w:eastAsia="仿宋" w:cs="Times New Roman"/>
          <w:sz w:val="24"/>
          <w:szCs w:val="24"/>
          <w:lang w:val="en-US" w:eastAsia="zh-CN"/>
        </w:rPr>
        <w:t>说明：对具有陕西省2020年度信用评价等级而无2021年度信用评价等级的企业，其2020年度信用评价等级延续1年；初次进入陕西省的企业，按照全国综合评价等级确定。延续省厅上一年信用评价结果后仍无信用评价结果的，按照全国综合评价结果对待，但不得高于省厅原评价等级的上一级。无全国综合评价结果的企业，且无不良信用行为，其信用评价等级按A级对待。联合体牵头人为承担勘察设计专业分工的单位时，对应按照高速公路设计企业类别信用评价等级进行评分，为承担主体工程施工专业分工的单位时，对应按照主体工程施工类别信用评价等级进行评分。</w:t>
      </w:r>
    </w:p>
    <w:p>
      <w:pPr>
        <w:spacing w:line="360" w:lineRule="auto"/>
        <w:ind w:firstLine="560" w:firstLineChars="200"/>
        <w:rPr>
          <w:rFonts w:hint="eastAsia" w:ascii="仿宋" w:hAnsi="仿宋" w:eastAsia="仿宋" w:cs="Times New Roman"/>
          <w:sz w:val="28"/>
          <w:szCs w:val="28"/>
          <w:lang w:val="en-US" w:eastAsia="zh-CN"/>
        </w:rPr>
      </w:pPr>
    </w:p>
    <w:p>
      <w:pPr>
        <w:spacing w:line="360" w:lineRule="auto"/>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注：A-1、C、D、E各评分因素得分以评标委员会各成员的打分平均值确定，该平均值以去掉一个最高分和一个最低分后计算。评标委员会成员对某一项评分因素的评分低于分值60%的，应当在评标报告中作出说明。</w:t>
      </w:r>
    </w:p>
    <w:p>
      <w:pPr>
        <w:jc w:val="left"/>
        <w:rPr>
          <w:rFonts w:hint="eastAsia" w:ascii="宋体" w:hAnsi="宋体"/>
          <w:b/>
          <w:szCs w:val="21"/>
          <w:highlight w:val="none"/>
        </w:rPr>
      </w:pPr>
    </w:p>
    <w:p>
      <w:pPr>
        <w:jc w:val="left"/>
        <w:rPr>
          <w:rFonts w:hint="eastAsia" w:ascii="宋体" w:hAnsi="宋体"/>
          <w:b/>
          <w:color w:val="auto"/>
          <w:szCs w:val="21"/>
          <w:highlight w:val="none"/>
        </w:rPr>
      </w:pPr>
      <w:r>
        <w:rPr>
          <w:rFonts w:hint="eastAsia" w:ascii="宋体" w:hAnsi="宋体"/>
          <w:bCs/>
          <w:sz w:val="30"/>
          <w:szCs w:val="30"/>
          <w:highlight w:val="none"/>
        </w:rPr>
        <w:br w:type="page"/>
      </w:r>
    </w:p>
    <w:p>
      <w:pPr>
        <w:spacing w:line="400" w:lineRule="exact"/>
        <w:ind w:firstLine="600" w:firstLineChars="200"/>
        <w:jc w:val="left"/>
        <w:rPr>
          <w:rFonts w:hint="eastAsia" w:ascii="宋体" w:hAnsi="宋体"/>
          <w:bCs/>
          <w:color w:val="auto"/>
          <w:sz w:val="30"/>
          <w:szCs w:val="30"/>
          <w:highlight w:val="none"/>
        </w:rPr>
      </w:pPr>
      <w:bookmarkStart w:id="9" w:name="_Toc234382653"/>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360" w:lineRule="auto"/>
        <w:ind w:firstLine="643" w:firstLineChars="200"/>
        <w:jc w:val="center"/>
        <w:rPr>
          <w:rFonts w:hint="eastAsia" w:ascii="仿宋" w:hAnsi="仿宋" w:eastAsia="仿宋" w:cs="Times New Roman"/>
          <w:b/>
          <w:bCs/>
          <w:sz w:val="32"/>
          <w:szCs w:val="32"/>
          <w:lang w:val="en-US" w:eastAsia="zh-CN"/>
        </w:rPr>
      </w:pPr>
    </w:p>
    <w:p>
      <w:pPr>
        <w:spacing w:line="360" w:lineRule="auto"/>
        <w:ind w:firstLine="643" w:firstLineChars="200"/>
        <w:jc w:val="center"/>
        <w:rPr>
          <w:rFonts w:hint="eastAsia" w:ascii="仿宋" w:hAnsi="仿宋" w:eastAsia="仿宋" w:cs="Times New Roman"/>
          <w:b/>
          <w:bCs/>
          <w:sz w:val="32"/>
          <w:szCs w:val="32"/>
          <w:lang w:val="en-US" w:eastAsia="zh-CN"/>
        </w:rPr>
      </w:pPr>
      <w:r>
        <w:rPr>
          <w:rFonts w:hint="eastAsia" w:ascii="仿宋" w:hAnsi="仿宋" w:eastAsia="仿宋" w:cs="Times New Roman"/>
          <w:b/>
          <w:bCs/>
          <w:sz w:val="32"/>
          <w:szCs w:val="32"/>
          <w:lang w:val="en-US" w:eastAsia="zh-CN"/>
        </w:rPr>
        <w:t>“评标办法”正文见《标准设计施工总承包招标文件》</w:t>
      </w:r>
    </w:p>
    <w:p>
      <w:pPr>
        <w:spacing w:line="360" w:lineRule="auto"/>
        <w:ind w:firstLine="643" w:firstLineChars="200"/>
        <w:jc w:val="center"/>
        <w:rPr>
          <w:rFonts w:hint="eastAsia" w:ascii="仿宋" w:hAnsi="仿宋" w:eastAsia="仿宋" w:cs="Times New Roman"/>
          <w:b/>
          <w:bCs/>
          <w:sz w:val="32"/>
          <w:szCs w:val="32"/>
          <w:lang w:val="en-US" w:eastAsia="zh-CN"/>
        </w:rPr>
      </w:pPr>
      <w:r>
        <w:rPr>
          <w:rFonts w:hint="eastAsia" w:ascii="仿宋" w:hAnsi="仿宋" w:eastAsia="仿宋" w:cs="Times New Roman"/>
          <w:b/>
          <w:bCs/>
          <w:sz w:val="32"/>
          <w:szCs w:val="32"/>
          <w:lang w:val="en-US" w:eastAsia="zh-CN"/>
        </w:rPr>
        <w:t>（2012年版）</w:t>
      </w:r>
    </w:p>
    <w:p>
      <w:pP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p>
    <w:p>
      <w:pPr>
        <w:pStyle w:val="2"/>
        <w:rPr>
          <w:rFonts w:hint="eastAsia"/>
        </w:rPr>
      </w:pPr>
    </w:p>
    <w:bookmarkEnd w:id="9"/>
    <w:p>
      <w:pPr>
        <w:tabs>
          <w:tab w:val="left" w:pos="1778"/>
        </w:tabs>
        <w:spacing w:line="360" w:lineRule="auto"/>
        <w:ind w:firstLine="562" w:firstLineChars="200"/>
        <w:outlineLvl w:val="1"/>
        <w:rPr>
          <w:rFonts w:hint="eastAsia" w:ascii="仿宋" w:hAnsi="仿宋" w:eastAsia="仿宋" w:cs="仿宋"/>
          <w:b/>
          <w:sz w:val="28"/>
          <w:szCs w:val="28"/>
        </w:rPr>
      </w:pPr>
      <w:r>
        <w:rPr>
          <w:rFonts w:hint="eastAsia" w:ascii="仿宋" w:hAnsi="仿宋" w:eastAsia="仿宋" w:cs="仿宋"/>
          <w:b/>
          <w:sz w:val="28"/>
          <w:szCs w:val="28"/>
        </w:rPr>
        <w:t>四、招标人联系方式</w:t>
      </w:r>
    </w:p>
    <w:p>
      <w:pPr>
        <w:tabs>
          <w:tab w:val="left" w:pos="1778"/>
        </w:tabs>
        <w:spacing w:before="50" w:line="360" w:lineRule="auto"/>
        <w:ind w:firstLine="560" w:firstLineChars="200"/>
        <w:contextualSpacing/>
        <w:rPr>
          <w:rFonts w:hint="eastAsia" w:ascii="仿宋" w:hAnsi="仿宋" w:eastAsia="仿宋" w:cs="仿宋"/>
          <w:sz w:val="28"/>
          <w:szCs w:val="28"/>
        </w:rPr>
      </w:pPr>
      <w:r>
        <w:rPr>
          <w:rFonts w:hint="eastAsia" w:ascii="仿宋" w:hAnsi="仿宋" w:eastAsia="仿宋" w:cs="仿宋"/>
          <w:sz w:val="28"/>
          <w:szCs w:val="28"/>
        </w:rPr>
        <w:t>招 标 人：陕西交通控股集团有限公司</w:t>
      </w:r>
    </w:p>
    <w:p>
      <w:pPr>
        <w:tabs>
          <w:tab w:val="left" w:pos="1778"/>
        </w:tabs>
        <w:spacing w:before="50" w:line="360" w:lineRule="auto"/>
        <w:ind w:firstLine="560" w:firstLineChars="200"/>
        <w:contextualSpacing/>
        <w:rPr>
          <w:rFonts w:hint="eastAsia" w:ascii="仿宋" w:hAnsi="仿宋" w:eastAsia="仿宋" w:cs="仿宋"/>
          <w:sz w:val="28"/>
          <w:szCs w:val="28"/>
        </w:rPr>
      </w:pPr>
      <w:r>
        <w:rPr>
          <w:rFonts w:hint="eastAsia" w:ascii="仿宋" w:hAnsi="仿宋" w:eastAsia="仿宋" w:cs="仿宋"/>
          <w:sz w:val="28"/>
          <w:szCs w:val="28"/>
        </w:rPr>
        <w:t>地    址：陕西省西安市太白南路9号</w:t>
      </w:r>
    </w:p>
    <w:p>
      <w:pPr>
        <w:tabs>
          <w:tab w:val="left" w:pos="1778"/>
        </w:tabs>
        <w:spacing w:before="50" w:line="360" w:lineRule="auto"/>
        <w:ind w:firstLine="560" w:firstLineChars="200"/>
        <w:contextualSpacing/>
        <w:rPr>
          <w:rFonts w:hint="eastAsia" w:ascii="仿宋" w:hAnsi="仿宋" w:eastAsia="仿宋" w:cs="仿宋"/>
          <w:sz w:val="28"/>
          <w:szCs w:val="28"/>
        </w:rPr>
      </w:pPr>
      <w:r>
        <w:rPr>
          <w:rFonts w:hint="eastAsia" w:ascii="仿宋" w:hAnsi="仿宋" w:eastAsia="仿宋" w:cs="仿宋"/>
          <w:sz w:val="28"/>
          <w:szCs w:val="28"/>
        </w:rPr>
        <w:t>邮政编码：710065</w:t>
      </w:r>
    </w:p>
    <w:p>
      <w:pPr>
        <w:tabs>
          <w:tab w:val="left" w:pos="1778"/>
        </w:tabs>
        <w:spacing w:before="50" w:line="360" w:lineRule="auto"/>
        <w:ind w:firstLine="560" w:firstLineChars="200"/>
        <w:contextualSpacing/>
        <w:rPr>
          <w:rFonts w:hint="eastAsia" w:ascii="仿宋" w:hAnsi="仿宋" w:eastAsia="仿宋" w:cs="仿宋"/>
          <w:sz w:val="28"/>
          <w:szCs w:val="28"/>
          <w:lang w:eastAsia="zh-CN"/>
        </w:rPr>
      </w:pPr>
      <w:r>
        <w:rPr>
          <w:rFonts w:hint="eastAsia" w:ascii="仿宋" w:hAnsi="仿宋" w:eastAsia="仿宋" w:cs="仿宋"/>
          <w:sz w:val="28"/>
          <w:szCs w:val="28"/>
        </w:rPr>
        <w:t>联 系 人：</w:t>
      </w:r>
      <w:r>
        <w:rPr>
          <w:rFonts w:hint="eastAsia" w:ascii="仿宋" w:hAnsi="仿宋" w:eastAsia="仿宋" w:cs="仿宋"/>
          <w:sz w:val="28"/>
          <w:szCs w:val="28"/>
          <w:lang w:val="en-US" w:eastAsia="zh-CN"/>
        </w:rPr>
        <w:t>屈先生</w:t>
      </w:r>
    </w:p>
    <w:p>
      <w:pPr>
        <w:tabs>
          <w:tab w:val="left" w:pos="1778"/>
        </w:tabs>
        <w:spacing w:before="50" w:line="360" w:lineRule="auto"/>
        <w:ind w:firstLine="560" w:firstLineChars="200"/>
        <w:contextualSpacing/>
        <w:rPr>
          <w:rFonts w:hint="default" w:ascii="仿宋" w:hAnsi="仿宋" w:eastAsia="仿宋" w:cs="仿宋"/>
          <w:sz w:val="28"/>
          <w:szCs w:val="28"/>
          <w:lang w:val="en-US" w:eastAsia="zh-CN"/>
        </w:rPr>
      </w:pPr>
      <w:r>
        <w:rPr>
          <w:rFonts w:hint="eastAsia" w:ascii="仿宋" w:hAnsi="仿宋" w:eastAsia="仿宋" w:cs="仿宋"/>
          <w:sz w:val="28"/>
          <w:szCs w:val="28"/>
        </w:rPr>
        <w:t>电    话：</w:t>
      </w:r>
      <w:r>
        <w:rPr>
          <w:rFonts w:hint="eastAsia" w:ascii="仿宋" w:hAnsi="仿宋" w:eastAsia="仿宋" w:cs="仿宋"/>
          <w:sz w:val="28"/>
          <w:szCs w:val="28"/>
          <w:lang w:val="en-US" w:eastAsia="zh-CN"/>
        </w:rPr>
        <w:t>029-87833095</w:t>
      </w:r>
    </w:p>
    <w:p>
      <w:pPr>
        <w:tabs>
          <w:tab w:val="left" w:pos="1778"/>
        </w:tabs>
        <w:spacing w:before="50" w:line="360" w:lineRule="auto"/>
        <w:ind w:firstLine="560" w:firstLineChars="200"/>
        <w:contextualSpacing/>
        <w:rPr>
          <w:rFonts w:hint="eastAsia" w:ascii="仿宋" w:hAnsi="仿宋" w:eastAsia="仿宋" w:cs="仿宋"/>
          <w:sz w:val="28"/>
          <w:szCs w:val="28"/>
        </w:rPr>
      </w:pPr>
      <w:r>
        <w:rPr>
          <w:rFonts w:hint="eastAsia" w:ascii="仿宋" w:hAnsi="仿宋" w:eastAsia="仿宋" w:cs="仿宋"/>
          <w:sz w:val="28"/>
          <w:szCs w:val="28"/>
        </w:rPr>
        <w:t>邮    箱：</w:t>
      </w:r>
      <w:r>
        <w:rPr>
          <w:rFonts w:hint="eastAsia" w:ascii="仿宋" w:hAnsi="仿宋" w:eastAsia="仿宋" w:cs="仿宋"/>
          <w:sz w:val="28"/>
          <w:szCs w:val="28"/>
          <w:lang w:val="en-US" w:eastAsia="zh-CN"/>
        </w:rPr>
        <w:t>623168028</w:t>
      </w:r>
      <w:r>
        <w:rPr>
          <w:rFonts w:hint="eastAsia" w:ascii="仿宋" w:hAnsi="仿宋" w:eastAsia="仿宋" w:cs="仿宋"/>
          <w:sz w:val="28"/>
          <w:szCs w:val="28"/>
        </w:rPr>
        <w:t>@qq.com</w:t>
      </w:r>
    </w:p>
    <w:bookmarkEnd w:id="0"/>
    <w:bookmarkEnd w:id="1"/>
    <w:bookmarkEnd w:id="2"/>
    <w:bookmarkEnd w:id="3"/>
    <w:bookmarkEnd w:id="4"/>
    <w:bookmarkEnd w:id="5"/>
    <w:bookmarkEnd w:id="6"/>
    <w:bookmarkEnd w:id="7"/>
    <w:p>
      <w:pPr>
        <w:pStyle w:val="2"/>
      </w:pPr>
    </w:p>
    <w:sectPr>
      <w:headerReference r:id="rId3" w:type="default"/>
      <w:footerReference r:id="rId4" w:type="default"/>
      <w:endnotePr>
        <w:numFmt w:val="decimal"/>
      </w:endnotePr>
      <w:pgSz w:w="11906" w:h="16838"/>
      <w:pgMar w:top="1588" w:right="1418" w:bottom="1588" w:left="1418" w:header="964" w:footer="964" w:gutter="0"/>
      <w:pgBorders>
        <w:top w:val="none" w:sz="0" w:space="0"/>
        <w:left w:val="none" w:sz="0" w:space="0"/>
        <w:bottom w:val="none" w:sz="0" w:space="0"/>
        <w:right w:val="none" w:sz="0" w:space="0"/>
      </w:pgBorders>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rPr>
    </w:pPr>
    <w:r>
      <w:rPr>
        <w:rFonts w:hint="eastAsia"/>
        <w:sz w:val="18"/>
        <w:szCs w:val="1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tabs>
        <w:tab w:val="clear" w:pos="4153"/>
      </w:tabs>
      <w:jc w:val="both"/>
      <w:rPr>
        <w:rFonts w:ascii="宋体" w:hAnsi="宋体"/>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endnotePr>
    <w:numFmt w:val="decimal"/>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yNDk2NjYyZDI0NDNmNTE5MTdlYWJkNjNlYjY2Y2QifQ=="/>
  </w:docVars>
  <w:rsids>
    <w:rsidRoot w:val="19657524"/>
    <w:rsid w:val="018D025D"/>
    <w:rsid w:val="01D743EA"/>
    <w:rsid w:val="02046B59"/>
    <w:rsid w:val="09A443FD"/>
    <w:rsid w:val="0B4D5807"/>
    <w:rsid w:val="0B8F1523"/>
    <w:rsid w:val="0C994C14"/>
    <w:rsid w:val="0DFF6F76"/>
    <w:rsid w:val="0E7912E8"/>
    <w:rsid w:val="103E709A"/>
    <w:rsid w:val="12DC1601"/>
    <w:rsid w:val="147859BD"/>
    <w:rsid w:val="14856472"/>
    <w:rsid w:val="16BA2ABB"/>
    <w:rsid w:val="18A84B5D"/>
    <w:rsid w:val="19657524"/>
    <w:rsid w:val="1A4C1930"/>
    <w:rsid w:val="1B705779"/>
    <w:rsid w:val="1B721452"/>
    <w:rsid w:val="1BAE5697"/>
    <w:rsid w:val="1E125EF4"/>
    <w:rsid w:val="1F8714F0"/>
    <w:rsid w:val="1FE4051E"/>
    <w:rsid w:val="204B126B"/>
    <w:rsid w:val="21410154"/>
    <w:rsid w:val="22C203C0"/>
    <w:rsid w:val="23850E70"/>
    <w:rsid w:val="24E9651D"/>
    <w:rsid w:val="28073F25"/>
    <w:rsid w:val="285D2B42"/>
    <w:rsid w:val="2B940F71"/>
    <w:rsid w:val="2F2954C3"/>
    <w:rsid w:val="2F9810E3"/>
    <w:rsid w:val="2F9C320D"/>
    <w:rsid w:val="2FC93A6E"/>
    <w:rsid w:val="2FD90A44"/>
    <w:rsid w:val="306F44B7"/>
    <w:rsid w:val="33937D97"/>
    <w:rsid w:val="371F3DE4"/>
    <w:rsid w:val="39551D3F"/>
    <w:rsid w:val="3A7F5E8E"/>
    <w:rsid w:val="3B106CFD"/>
    <w:rsid w:val="3B5D687E"/>
    <w:rsid w:val="3BFB3DD6"/>
    <w:rsid w:val="3CBC538E"/>
    <w:rsid w:val="3CEA6C43"/>
    <w:rsid w:val="3E453E55"/>
    <w:rsid w:val="40BB396D"/>
    <w:rsid w:val="40C72A04"/>
    <w:rsid w:val="416B7E53"/>
    <w:rsid w:val="41E308B2"/>
    <w:rsid w:val="45560921"/>
    <w:rsid w:val="49202A1D"/>
    <w:rsid w:val="49970B50"/>
    <w:rsid w:val="4AD26D30"/>
    <w:rsid w:val="4AFA05B9"/>
    <w:rsid w:val="4D425F0A"/>
    <w:rsid w:val="4E0479C5"/>
    <w:rsid w:val="4E2C077F"/>
    <w:rsid w:val="4FD61243"/>
    <w:rsid w:val="51265514"/>
    <w:rsid w:val="521368F9"/>
    <w:rsid w:val="53AF0123"/>
    <w:rsid w:val="53FB3968"/>
    <w:rsid w:val="541419F8"/>
    <w:rsid w:val="549D2057"/>
    <w:rsid w:val="556D2EBB"/>
    <w:rsid w:val="57361328"/>
    <w:rsid w:val="5A362305"/>
    <w:rsid w:val="5ACC66BC"/>
    <w:rsid w:val="5D304A7B"/>
    <w:rsid w:val="5F0705FD"/>
    <w:rsid w:val="60115EBC"/>
    <w:rsid w:val="60D12670"/>
    <w:rsid w:val="610E7602"/>
    <w:rsid w:val="62CB1A6A"/>
    <w:rsid w:val="62E97BDC"/>
    <w:rsid w:val="634D7265"/>
    <w:rsid w:val="63D9242B"/>
    <w:rsid w:val="65B2623E"/>
    <w:rsid w:val="65D7247A"/>
    <w:rsid w:val="668612B5"/>
    <w:rsid w:val="66AC7D60"/>
    <w:rsid w:val="673D2719"/>
    <w:rsid w:val="68300004"/>
    <w:rsid w:val="69881723"/>
    <w:rsid w:val="6C776A3F"/>
    <w:rsid w:val="6CF5198C"/>
    <w:rsid w:val="6DC2475E"/>
    <w:rsid w:val="6E3235FE"/>
    <w:rsid w:val="6F122EB8"/>
    <w:rsid w:val="6F6A5D27"/>
    <w:rsid w:val="7301261F"/>
    <w:rsid w:val="73400D35"/>
    <w:rsid w:val="73BD5740"/>
    <w:rsid w:val="753E1321"/>
    <w:rsid w:val="780D6694"/>
    <w:rsid w:val="78FC4E71"/>
    <w:rsid w:val="797D1D3B"/>
    <w:rsid w:val="7C457B7C"/>
    <w:rsid w:val="7DB166DF"/>
    <w:rsid w:val="7DCA4A14"/>
    <w:rsid w:val="7E6B03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toa heading"/>
    <w:basedOn w:val="1"/>
    <w:next w:val="1"/>
    <w:qFormat/>
    <w:uiPriority w:val="99"/>
    <w:rPr>
      <w:rFonts w:ascii="Arial" w:hAnsi="Arial"/>
      <w:sz w:val="24"/>
    </w:rPr>
  </w:style>
  <w:style w:type="paragraph" w:styleId="3">
    <w:name w:val="caption"/>
    <w:basedOn w:val="1"/>
    <w:next w:val="1"/>
    <w:unhideWhenUsed/>
    <w:qFormat/>
    <w:uiPriority w:val="0"/>
    <w:rPr>
      <w:rFonts w:ascii="Arial" w:hAnsi="Arial" w:eastAsia="黑体"/>
      <w:sz w:val="20"/>
    </w:rPr>
  </w:style>
  <w:style w:type="paragraph" w:styleId="4">
    <w:name w:val="Body Text 3"/>
    <w:basedOn w:val="1"/>
    <w:qFormat/>
    <w:uiPriority w:val="0"/>
    <w:rPr>
      <w:rFonts w:ascii="宋体"/>
      <w:sz w:val="24"/>
      <w:szCs w:val="20"/>
    </w:rPr>
  </w:style>
  <w:style w:type="paragraph" w:styleId="5">
    <w:name w:val="Body Text Indent"/>
    <w:basedOn w:val="1"/>
    <w:link w:val="12"/>
    <w:qFormat/>
    <w:uiPriority w:val="0"/>
    <w:pPr>
      <w:spacing w:after="120" w:afterLines="0" w:afterAutospacing="0"/>
      <w:ind w:left="420" w:leftChars="200"/>
    </w:p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5"/>
    <w:link w:val="13"/>
    <w:qFormat/>
    <w:uiPriority w:val="99"/>
    <w:pPr>
      <w:ind w:firstLine="420" w:firstLineChars="200"/>
    </w:pPr>
  </w:style>
  <w:style w:type="character" w:styleId="10">
    <w:name w:val="Hyperlink"/>
    <w:qFormat/>
    <w:uiPriority w:val="99"/>
    <w:rPr>
      <w:color w:val="0000FF"/>
      <w:u w:val="single"/>
    </w:rPr>
  </w:style>
  <w:style w:type="character" w:customStyle="1" w:styleId="11">
    <w:name w:val="15"/>
    <w:basedOn w:val="9"/>
    <w:qFormat/>
    <w:uiPriority w:val="0"/>
    <w:rPr>
      <w:rFonts w:hint="default" w:ascii="Times New Roman" w:hAnsi="Times New Roman" w:cs="Times New Roman"/>
    </w:rPr>
  </w:style>
  <w:style w:type="character" w:customStyle="1" w:styleId="12">
    <w:name w:val="正文文本缩进 Char"/>
    <w:basedOn w:val="9"/>
    <w:link w:val="5"/>
    <w:uiPriority w:val="0"/>
    <w:rPr>
      <w:rFonts w:hint="default" w:ascii="Verdana" w:hAnsi="Verdana" w:cs="Verdana"/>
      <w:kern w:val="2"/>
      <w:sz w:val="21"/>
      <w:szCs w:val="24"/>
      <w:lang w:eastAsia="en-US"/>
    </w:rPr>
  </w:style>
  <w:style w:type="character" w:customStyle="1" w:styleId="13">
    <w:name w:val="正文首行缩进 2 Char"/>
    <w:basedOn w:val="12"/>
    <w:link w:val="7"/>
    <w:qFormat/>
    <w:uiPriority w:val="0"/>
    <w:rPr>
      <w:rFonts w:hint="default" w:ascii="Verdana" w:hAnsi="Verdana" w:cs="Verdana"/>
      <w:kern w:val="2"/>
      <w:sz w:val="21"/>
      <w:szCs w:val="24"/>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10792</Words>
  <Characters>11476</Characters>
  <Lines>1</Lines>
  <Paragraphs>1</Paragraphs>
  <TotalTime>0</TotalTime>
  <ScaleCrop>false</ScaleCrop>
  <LinksUpToDate>false</LinksUpToDate>
  <CharactersWithSpaces>11596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2022-08-25T12:44:00Z</dcterms:created>
  <dc:creator>18岁少年梦想环游世界</dc:creator>
  <cp:lastModifiedBy>仵晓煜</cp:lastModifiedBy>
  <dcterms:modified xsi:type="dcterms:W3CDTF">2022-10-24T14:32:13Z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043F8B8BBF5C42B0BCEC0D715C903E3F</vt:lpwstr>
  </property>
</Properties>
</file>