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25" w:lineRule="exact"/>
        <w:jc w:val="left"/>
        <w:rPr>
          <w:rFonts w:ascii="Times New Roman" w:hAnsi="Times New Roman"/>
          <w:kern w:val="0"/>
          <w:sz w:val="24"/>
          <w:szCs w:val="24"/>
        </w:rPr>
      </w:pPr>
      <w:bookmarkStart w:id="373" w:name="_GoBack"/>
      <w:bookmarkEnd w:id="373"/>
    </w:p>
    <w:p>
      <w:pPr>
        <w:spacing w:line="360" w:lineRule="auto"/>
        <w:jc w:val="center"/>
        <w:rPr>
          <w:rFonts w:ascii="Times New Roman" w:hAnsi="Times New Roman"/>
          <w:b/>
          <w:bCs/>
          <w:color w:val="000000"/>
          <w:sz w:val="36"/>
          <w:szCs w:val="36"/>
        </w:rPr>
      </w:pPr>
    </w:p>
    <w:p>
      <w:pPr>
        <w:spacing w:line="360" w:lineRule="auto"/>
        <w:jc w:val="center"/>
        <w:rPr>
          <w:rFonts w:ascii="Times New Roman" w:hAnsi="Times New Roman"/>
          <w:b/>
          <w:bCs/>
          <w:color w:val="000000"/>
          <w:sz w:val="36"/>
          <w:szCs w:val="36"/>
        </w:rPr>
      </w:pPr>
    </w:p>
    <w:p>
      <w:pPr>
        <w:spacing w:line="360" w:lineRule="auto"/>
        <w:ind w:firstLine="640"/>
        <w:rPr>
          <w:rFonts w:ascii="Times New Roman" w:hAnsi="Times New Roman" w:eastAsia="隶书"/>
          <w:b/>
          <w:bCs/>
          <w:spacing w:val="-20"/>
          <w:sz w:val="48"/>
          <w:szCs w:val="48"/>
        </w:rPr>
      </w:pPr>
    </w:p>
    <w:p>
      <w:pPr>
        <w:spacing w:line="820" w:lineRule="exact"/>
        <w:jc w:val="center"/>
        <w:rPr>
          <w:rFonts w:ascii="Times New Roman" w:hAnsi="Times New Roman" w:eastAsia="黑体"/>
          <w:b/>
          <w:sz w:val="48"/>
          <w:szCs w:val="48"/>
        </w:rPr>
      </w:pPr>
      <w:r>
        <w:rPr>
          <w:rFonts w:ascii="Times New Roman" w:hAnsi="Times New Roman" w:eastAsia="黑体"/>
          <w:b/>
          <w:sz w:val="48"/>
          <w:szCs w:val="48"/>
        </w:rPr>
        <w:t>陕西省鄠邑经周至至眉县高速公路</w:t>
      </w:r>
    </w:p>
    <w:p>
      <w:pPr>
        <w:spacing w:line="820" w:lineRule="exact"/>
        <w:jc w:val="center"/>
        <w:rPr>
          <w:rFonts w:ascii="Times New Roman" w:hAnsi="Times New Roman" w:eastAsia="黑体"/>
          <w:b/>
          <w:sz w:val="48"/>
          <w:szCs w:val="48"/>
        </w:rPr>
      </w:pPr>
      <w:r>
        <w:rPr>
          <w:rFonts w:ascii="Times New Roman" w:hAnsi="Times New Roman" w:eastAsia="黑体"/>
          <w:b/>
          <w:sz w:val="48"/>
          <w:szCs w:val="48"/>
        </w:rPr>
        <w:t>PPP项目</w:t>
      </w: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sz w:val="28"/>
          <w:szCs w:val="28"/>
        </w:rPr>
      </w:pPr>
    </w:p>
    <w:p>
      <w:pPr>
        <w:spacing w:line="820" w:lineRule="exact"/>
        <w:jc w:val="center"/>
        <w:rPr>
          <w:rFonts w:ascii="Times New Roman" w:hAnsi="Times New Roman" w:eastAsia="黑体"/>
          <w:b/>
          <w:bCs/>
          <w:sz w:val="60"/>
          <w:szCs w:val="60"/>
        </w:rPr>
      </w:pPr>
      <w:r>
        <w:rPr>
          <w:rFonts w:ascii="Times New Roman" w:hAnsi="Times New Roman" w:eastAsia="黑体"/>
          <w:b/>
          <w:bCs/>
          <w:sz w:val="60"/>
          <w:szCs w:val="60"/>
        </w:rPr>
        <w:t>PPP项目合同</w:t>
      </w:r>
    </w:p>
    <w:p>
      <w:pPr>
        <w:spacing w:line="360" w:lineRule="auto"/>
        <w:ind w:firstLine="883" w:firstLineChars="200"/>
        <w:jc w:val="center"/>
        <w:rPr>
          <w:rFonts w:ascii="Times New Roman" w:hAnsi="Times New Roman" w:eastAsia="黑体"/>
          <w:b/>
          <w:sz w:val="44"/>
          <w:szCs w:val="44"/>
        </w:rPr>
      </w:pPr>
    </w:p>
    <w:p>
      <w:pPr>
        <w:spacing w:line="360" w:lineRule="auto"/>
        <w:ind w:firstLine="880" w:firstLineChars="200"/>
        <w:jc w:val="center"/>
        <w:rPr>
          <w:rFonts w:ascii="Times New Roman" w:hAnsi="Times New Roman" w:eastAsia="仿宋"/>
          <w:sz w:val="44"/>
          <w:szCs w:val="44"/>
        </w:rPr>
      </w:pPr>
    </w:p>
    <w:p>
      <w:pPr>
        <w:spacing w:line="360" w:lineRule="auto"/>
        <w:ind w:firstLine="880" w:firstLineChars="200"/>
        <w:jc w:val="center"/>
        <w:rPr>
          <w:rFonts w:ascii="Times New Roman" w:hAnsi="Times New Roman" w:eastAsia="仿宋"/>
          <w:sz w:val="44"/>
          <w:szCs w:val="44"/>
        </w:rPr>
      </w:pPr>
    </w:p>
    <w:p>
      <w:pPr>
        <w:spacing w:line="360" w:lineRule="auto"/>
        <w:ind w:firstLine="880" w:firstLineChars="200"/>
        <w:jc w:val="center"/>
        <w:rPr>
          <w:rFonts w:ascii="Times New Roman" w:hAnsi="Times New Roman" w:eastAsia="仿宋"/>
          <w:sz w:val="44"/>
          <w:szCs w:val="44"/>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360" w:lineRule="auto"/>
        <w:ind w:firstLine="560" w:firstLineChars="200"/>
        <w:jc w:val="center"/>
        <w:rPr>
          <w:rFonts w:ascii="Times New Roman" w:hAnsi="Times New Roman" w:eastAsia="仿宋"/>
          <w:sz w:val="28"/>
          <w:szCs w:val="28"/>
        </w:rPr>
      </w:pPr>
    </w:p>
    <w:p>
      <w:pPr>
        <w:spacing w:line="82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实施机构：陕西省交通运输厅</w:t>
      </w:r>
    </w:p>
    <w:p>
      <w:pPr>
        <w:spacing w:line="820" w:lineRule="exact"/>
        <w:jc w:val="center"/>
        <w:rPr>
          <w:rFonts w:ascii="Times New Roman" w:hAnsi="Times New Roman"/>
          <w:kern w:val="0"/>
          <w:sz w:val="24"/>
          <w:szCs w:val="24"/>
        </w:rPr>
        <w:sectPr>
          <w:footerReference r:id="rId3" w:type="default"/>
          <w:pgSz w:w="11900" w:h="16838"/>
          <w:pgMar w:top="1474" w:right="1418" w:bottom="1474" w:left="1418" w:header="720" w:footer="720" w:gutter="567"/>
          <w:cols w:equalWidth="0" w:num="1">
            <w:col w:w="8497"/>
          </w:cols>
          <w:titlePg/>
          <w:docGrid w:linePitch="286" w:charSpace="0"/>
        </w:sectPr>
      </w:pPr>
      <w:r>
        <w:rPr>
          <w:rFonts w:ascii="Times New Roman" w:hAnsi="Times New Roman" w:eastAsia="黑体"/>
          <w:b/>
          <w:color w:val="000000"/>
          <w:sz w:val="30"/>
          <w:szCs w:val="30"/>
        </w:rPr>
        <w:t>202</w:t>
      </w:r>
      <w:r>
        <w:rPr>
          <w:rFonts w:hint="eastAsia" w:ascii="Times New Roman" w:hAnsi="Times New Roman" w:eastAsia="黑体"/>
          <w:b/>
          <w:color w:val="000000"/>
          <w:sz w:val="30"/>
          <w:szCs w:val="30"/>
        </w:rPr>
        <w:t>1</w:t>
      </w:r>
      <w:r>
        <w:rPr>
          <w:rFonts w:ascii="Times New Roman" w:hAnsi="Times New Roman" w:eastAsia="黑体"/>
          <w:b/>
          <w:color w:val="000000"/>
          <w:sz w:val="30"/>
          <w:szCs w:val="30"/>
        </w:rPr>
        <w:t>年</w:t>
      </w:r>
      <w:r>
        <w:rPr>
          <w:rFonts w:hint="eastAsia" w:ascii="Times New Roman" w:hAnsi="Times New Roman" w:eastAsia="黑体"/>
          <w:b/>
          <w:color w:val="000000"/>
          <w:sz w:val="30"/>
          <w:szCs w:val="30"/>
        </w:rPr>
        <w:t>8</w:t>
      </w:r>
      <w:r>
        <w:rPr>
          <w:rFonts w:ascii="Times New Roman" w:hAnsi="Times New Roman" w:eastAsia="黑体"/>
          <w:b/>
          <w:color w:val="000000"/>
          <w:sz w:val="30"/>
          <w:szCs w:val="30"/>
        </w:rPr>
        <w:t>月</w:t>
      </w:r>
    </w:p>
    <w:p>
      <w:pPr>
        <w:spacing w:line="360" w:lineRule="auto"/>
        <w:jc w:val="left"/>
        <w:rPr>
          <w:rFonts w:ascii="Times New Roman" w:hAnsi="Times New Roman"/>
          <w:sz w:val="28"/>
          <w:szCs w:val="28"/>
        </w:rPr>
      </w:pPr>
      <w:bookmarkStart w:id="0" w:name="page2"/>
      <w:bookmarkEnd w:id="0"/>
      <w:bookmarkStart w:id="1" w:name="page3"/>
      <w:bookmarkEnd w:id="1"/>
      <w:r>
        <w:rPr>
          <w:rFonts w:ascii="Times New Roman" w:hAnsi="Times New Roman"/>
          <w:sz w:val="28"/>
          <w:szCs w:val="28"/>
        </w:rPr>
        <w:t>本合同由下列双方于2021年【】月【】日在陕西省【】签署：</w:t>
      </w:r>
    </w:p>
    <w:p>
      <w:pPr>
        <w:spacing w:line="360" w:lineRule="auto"/>
        <w:ind w:left="283" w:leftChars="135" w:firstLine="1"/>
        <w:jc w:val="left"/>
        <w:rPr>
          <w:rFonts w:ascii="Times New Roman" w:hAnsi="Times New Roman"/>
          <w:sz w:val="28"/>
          <w:szCs w:val="28"/>
        </w:rPr>
      </w:pPr>
      <w:r>
        <w:rPr>
          <w:rFonts w:ascii="Times New Roman" w:hAnsi="Times New Roman"/>
          <w:b/>
          <w:sz w:val="28"/>
          <w:szCs w:val="28"/>
        </w:rPr>
        <w:t>甲方：陕西省交通运输厅（下称“省交通运输厅”）</w:t>
      </w:r>
      <w:r>
        <w:rPr>
          <w:rFonts w:ascii="Times New Roman" w:hAnsi="Times New Roman"/>
          <w:sz w:val="28"/>
          <w:szCs w:val="28"/>
        </w:rPr>
        <w:t>，系按照中华人民共和国（下称“中国”）法律依法组建和存续的陕西省人民政府（下称“省政府”）职能部门</w:t>
      </w:r>
    </w:p>
    <w:p>
      <w:pPr>
        <w:spacing w:line="360" w:lineRule="auto"/>
        <w:ind w:firstLine="282" w:firstLineChars="101"/>
        <w:jc w:val="left"/>
        <w:rPr>
          <w:rFonts w:ascii="Times New Roman" w:hAnsi="Times New Roman"/>
          <w:sz w:val="28"/>
          <w:szCs w:val="28"/>
        </w:rPr>
      </w:pPr>
    </w:p>
    <w:p>
      <w:pPr>
        <w:spacing w:line="360" w:lineRule="auto"/>
        <w:ind w:firstLine="560" w:firstLineChars="200"/>
        <w:jc w:val="left"/>
        <w:rPr>
          <w:rFonts w:ascii="Times New Roman" w:hAnsi="Times New Roman"/>
          <w:sz w:val="28"/>
          <w:szCs w:val="28"/>
        </w:rPr>
      </w:pPr>
      <w:r>
        <w:rPr>
          <w:rFonts w:ascii="Times New Roman" w:hAnsi="Times New Roman"/>
          <w:sz w:val="28"/>
          <w:szCs w:val="28"/>
        </w:rPr>
        <w:t>和</w:t>
      </w:r>
    </w:p>
    <w:p>
      <w:pPr>
        <w:spacing w:line="360" w:lineRule="auto"/>
        <w:jc w:val="left"/>
        <w:rPr>
          <w:rFonts w:ascii="Times New Roman" w:hAnsi="Times New Roman"/>
          <w:sz w:val="28"/>
          <w:szCs w:val="28"/>
        </w:rPr>
      </w:pPr>
    </w:p>
    <w:p>
      <w:pPr>
        <w:spacing w:line="360" w:lineRule="auto"/>
        <w:ind w:left="283" w:leftChars="135" w:firstLine="1"/>
        <w:jc w:val="left"/>
        <w:rPr>
          <w:rFonts w:ascii="Times New Roman" w:hAnsi="Times New Roman"/>
          <w:sz w:val="28"/>
          <w:szCs w:val="28"/>
        </w:rPr>
      </w:pPr>
      <w:r>
        <w:rPr>
          <w:rFonts w:ascii="Times New Roman" w:hAnsi="Times New Roman"/>
          <w:b/>
          <w:sz w:val="28"/>
          <w:szCs w:val="28"/>
        </w:rPr>
        <w:t>乙方1：【项目公司名称】</w:t>
      </w:r>
      <w:r>
        <w:rPr>
          <w:rFonts w:ascii="Times New Roman" w:hAnsi="Times New Roman"/>
          <w:sz w:val="28"/>
          <w:szCs w:val="28"/>
        </w:rPr>
        <w:t>，系由本项目中标人按照中国法律依法设立及存续的有限责任公司</w:t>
      </w:r>
    </w:p>
    <w:p>
      <w:pPr>
        <w:spacing w:line="360" w:lineRule="auto"/>
        <w:ind w:left="283" w:leftChars="135" w:firstLine="1"/>
        <w:jc w:val="left"/>
        <w:rPr>
          <w:rFonts w:ascii="Times New Roman" w:hAnsi="Times New Roman"/>
          <w:sz w:val="28"/>
          <w:szCs w:val="28"/>
        </w:rPr>
      </w:pPr>
      <w:r>
        <w:rPr>
          <w:rFonts w:ascii="Times New Roman" w:hAnsi="Times New Roman"/>
          <w:b/>
          <w:sz w:val="28"/>
          <w:szCs w:val="28"/>
        </w:rPr>
        <w:t>乙方2：【中标人名称（若为联合体中标人，联合体牵头人代表联合体中标人签署本合同，则为联合体牵头人名称，联合体共同参与投标协议作为本合同的附件内容）】</w:t>
      </w:r>
      <w:r>
        <w:rPr>
          <w:rFonts w:ascii="Times New Roman" w:hAnsi="Times New Roman"/>
          <w:sz w:val="28"/>
          <w:szCs w:val="28"/>
        </w:rPr>
        <w:t>，系甲方通过公开招标依法选定的陕西省鄠邑经周至至眉县高速公路（简称“鄠周眉公路”）PPP项目（简称“项目”或“本项目”）的中标人。</w:t>
      </w:r>
    </w:p>
    <w:p>
      <w:pPr>
        <w:spacing w:line="360" w:lineRule="auto"/>
        <w:ind w:firstLine="560" w:firstLineChars="200"/>
        <w:jc w:val="left"/>
        <w:rPr>
          <w:rFonts w:ascii="Times New Roman" w:hAnsi="Times New Roman"/>
          <w:sz w:val="28"/>
          <w:szCs w:val="28"/>
        </w:rPr>
      </w:pPr>
    </w:p>
    <w:p>
      <w:pPr>
        <w:spacing w:line="360" w:lineRule="auto"/>
        <w:jc w:val="left"/>
        <w:rPr>
          <w:rFonts w:ascii="Times New Roman" w:hAnsi="Times New Roman"/>
          <w:sz w:val="28"/>
          <w:szCs w:val="28"/>
        </w:rPr>
      </w:pPr>
    </w:p>
    <w:p>
      <w:pPr>
        <w:spacing w:line="360" w:lineRule="auto"/>
        <w:ind w:firstLine="284" w:firstLineChars="101"/>
        <w:jc w:val="lef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t>鉴于：</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为加快推进陕西省公路基础设施建设，满足公路运输快速发展的需要，优化、补充与完善国家高速公路网，形成一条较为独立的京昆线秦岭复线，分流京昆高速西安以南路段交通压力，提高公路网连通度和迂回度，创新机制，多渠道争取资金，提高项目工程建设、维护及运营的效率，陕西省人民政府决定采用PPP（政府与社会资本合作）模式实施本项目。</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陕西省人民政府（以下简称“省政府”）同意（【《批复文件名称》（批复文号）】）实施本项目，授权甲方签署本合同。</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甲方于【】年【】月【】日发布了本项目资格预审公告；【中标人名称】于【】年【】月【】日参加了甲方组织的本项目资格预审，甲方根据《资格预审文件》中规定的程序和方法，组建评审小组对提交的资格预审申请文件进行评审，确定【中标人名称】等通过资格预审；</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乙方2于【】年【】月【】日参加了本项目公开招标，并于投标截止时间之前提交了投标文件；甲方根据《投标人须知》中规定的程序和方法，组建评标委员会对提交的投标文件进行评审，最终确定乙方2为中标人。乙方2应完成本项目的投融资、建设、运营维护和移交，并自行承担责任、义务和风险。</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乙方2根据中国法律于【】年【】月【】日在【】正式注册成立了【项目公司全称】；</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甲方与乙方1特此订立本合同，授予乙方1特许经营权，以规定乙方1投融资、建设、运营维护本合同有关的项目设施，并在特许经营期届满后根据本合同的规定将项目设施完好无偿移交给甲方或政府指定的机构。</w:t>
      </w:r>
    </w:p>
    <w:p>
      <w:pPr>
        <w:numPr>
          <w:ilvl w:val="0"/>
          <w:numId w:val="3"/>
        </w:numPr>
        <w:spacing w:line="360" w:lineRule="auto"/>
        <w:jc w:val="left"/>
        <w:rPr>
          <w:rFonts w:ascii="Times New Roman" w:hAnsi="Times New Roman"/>
          <w:sz w:val="28"/>
          <w:szCs w:val="28"/>
        </w:rPr>
      </w:pPr>
      <w:r>
        <w:rPr>
          <w:rFonts w:ascii="Times New Roman" w:hAnsi="Times New Roman"/>
          <w:sz w:val="28"/>
          <w:szCs w:val="28"/>
        </w:rPr>
        <w:t>乙方2对乙方1按照本合同的约定应承担的合同义务或其他法定义务承担连带保证责任，保证期间为主债权到期后的两年，保证范围包括但不限于乙方1未履行本合同相应责任、义务而产生的债务、由此产生的违约金、损害赔偿金以及甲方为实现相应债权所支出的费用（如：律师费、诉讼费、保全费、公证费等）。</w:t>
      </w:r>
    </w:p>
    <w:p>
      <w:pPr>
        <w:spacing w:line="360" w:lineRule="auto"/>
        <w:ind w:left="840" w:firstLine="280" w:firstLineChars="100"/>
        <w:jc w:val="left"/>
        <w:rPr>
          <w:rFonts w:ascii="Times New Roman" w:hAnsi="Times New Roman"/>
          <w:sz w:val="28"/>
          <w:szCs w:val="28"/>
        </w:rPr>
      </w:pPr>
      <w:r>
        <w:rPr>
          <w:rFonts w:ascii="Times New Roman" w:hAnsi="Times New Roman"/>
          <w:sz w:val="28"/>
          <w:szCs w:val="28"/>
        </w:rPr>
        <w:t>为此，双方达成如下协议，共同遵守执行：</w:t>
      </w:r>
    </w:p>
    <w:p>
      <w:pPr>
        <w:spacing w:line="360" w:lineRule="auto"/>
        <w:ind w:firstLine="560" w:firstLineChars="200"/>
        <w:jc w:val="left"/>
        <w:rPr>
          <w:rFonts w:ascii="Times New Roman" w:hAnsi="Times New Roman"/>
          <w:sz w:val="28"/>
          <w:szCs w:val="28"/>
        </w:rPr>
      </w:pPr>
    </w:p>
    <w:p>
      <w:pPr>
        <w:pStyle w:val="2"/>
        <w:spacing w:before="120" w:beforeLines="50" w:after="120" w:afterLines="50"/>
        <w:ind w:left="445" w:right="210" w:hanging="235"/>
        <w:rPr>
          <w:rFonts w:ascii="Times New Roman" w:hAnsi="Times New Roman"/>
          <w:bCs w:val="0"/>
          <w:sz w:val="36"/>
          <w:szCs w:val="36"/>
          <w:lang w:eastAsia="zh-CN"/>
        </w:rPr>
        <w:sectPr>
          <w:pgSz w:w="11900" w:h="16838"/>
          <w:pgMar w:top="1474" w:right="1418" w:bottom="1474" w:left="1418" w:header="720" w:footer="720" w:gutter="567"/>
          <w:pgNumType w:start="1"/>
          <w:cols w:equalWidth="0" w:num="1">
            <w:col w:w="7363"/>
          </w:cols>
        </w:sectPr>
      </w:pPr>
      <w:bookmarkStart w:id="2" w:name="page5"/>
      <w:bookmarkEnd w:id="2"/>
      <w:bookmarkStart w:id="3" w:name="page6"/>
      <w:bookmarkEnd w:id="3"/>
      <w:bookmarkStart w:id="4" w:name="page7"/>
      <w:bookmarkEnd w:id="4"/>
      <w:bookmarkStart w:id="5" w:name="_Toc480978636"/>
      <w:bookmarkStart w:id="6" w:name="_Toc480670986"/>
    </w:p>
    <w:p>
      <w:pPr>
        <w:pStyle w:val="2"/>
        <w:spacing w:before="120" w:beforeLines="50" w:after="120" w:afterLines="50"/>
        <w:ind w:left="425" w:right="210"/>
        <w:rPr>
          <w:rFonts w:ascii="Times New Roman" w:hAnsi="Times New Roman"/>
          <w:bCs w:val="0"/>
          <w:sz w:val="36"/>
          <w:szCs w:val="36"/>
          <w:lang w:eastAsia="zh-CN"/>
        </w:rPr>
      </w:pPr>
      <w:bookmarkStart w:id="7" w:name="_Toc482120667"/>
      <w:bookmarkStart w:id="8" w:name="_Toc68593505"/>
      <w:r>
        <w:rPr>
          <w:rFonts w:ascii="Times New Roman" w:hAnsi="Times New Roman"/>
          <w:bCs w:val="0"/>
          <w:sz w:val="36"/>
          <w:szCs w:val="36"/>
          <w:lang w:eastAsia="zh-CN"/>
        </w:rPr>
        <w:t>前言</w:t>
      </w:r>
      <w:bookmarkEnd w:id="5"/>
      <w:bookmarkEnd w:id="6"/>
      <w:bookmarkEnd w:id="7"/>
      <w:bookmarkEnd w:id="8"/>
    </w:p>
    <w:p>
      <w:pPr>
        <w:spacing w:line="360" w:lineRule="auto"/>
        <w:ind w:firstLine="560" w:firstLineChars="200"/>
        <w:jc w:val="left"/>
        <w:rPr>
          <w:rFonts w:ascii="Times New Roman" w:hAnsi="Times New Roman"/>
          <w:sz w:val="28"/>
          <w:szCs w:val="28"/>
        </w:rPr>
      </w:pPr>
      <w:r>
        <w:rPr>
          <w:rFonts w:ascii="Times New Roman" w:hAnsi="Times New Roman"/>
          <w:sz w:val="28"/>
          <w:szCs w:val="28"/>
        </w:rPr>
        <w:t>本合同主要明确甲方与乙方1之间在项目投融资、建设、运营维护和移交过程中所享有的权利和应承担的义务。在乙方2完成设立项目公司作为本合同签署的乙方1，甲方将与乙方1和乙方2共同签署本合同，乙方1承继乙方2在投资协议中的权利和义务，但不免除、不减轻乙方2在投资协议项下的权利、义务和责任。</w:t>
      </w:r>
    </w:p>
    <w:p>
      <w:pPr>
        <w:spacing w:line="360" w:lineRule="auto"/>
        <w:ind w:firstLine="560" w:firstLineChars="200"/>
        <w:jc w:val="left"/>
        <w:rPr>
          <w:rFonts w:ascii="Times New Roman" w:hAnsi="Times New Roman"/>
          <w:sz w:val="28"/>
          <w:szCs w:val="28"/>
        </w:rPr>
      </w:pPr>
      <w:r>
        <w:rPr>
          <w:rFonts w:ascii="Times New Roman" w:hAnsi="Times New Roman"/>
          <w:sz w:val="28"/>
          <w:szCs w:val="28"/>
        </w:rPr>
        <w:t>内容包括：定义与释义、特许经营权和特许经营期、声明和保证、双方的一般权利和义务、项目前期工作和融资交割、项目建设用地、项目建设、项目设施运营管理、报告和中期评估、收费管理、交通量与特许经营期调整、保险、开票和付款、特许经营期届满时项目设施的移交、不可抗力、提前终止、转让和担保、补偿、争议的解决。</w:t>
      </w:r>
      <w:bookmarkStart w:id="9" w:name="page10"/>
      <w:bookmarkEnd w:id="9"/>
      <w:bookmarkStart w:id="10" w:name="page11"/>
      <w:bookmarkEnd w:id="10"/>
      <w:bookmarkStart w:id="11" w:name="page15"/>
      <w:bookmarkEnd w:id="11"/>
      <w:bookmarkStart w:id="12" w:name="page12"/>
      <w:bookmarkEnd w:id="12"/>
      <w:bookmarkStart w:id="13" w:name="page13"/>
      <w:bookmarkEnd w:id="13"/>
      <w:bookmarkStart w:id="14" w:name="page8"/>
      <w:bookmarkEnd w:id="14"/>
      <w:bookmarkStart w:id="15" w:name="page9"/>
      <w:bookmarkEnd w:id="15"/>
    </w:p>
    <w:p>
      <w:pPr>
        <w:pStyle w:val="21"/>
        <w:spacing w:line="360" w:lineRule="auto"/>
        <w:jc w:val="center"/>
        <w:rPr>
          <w:rFonts w:ascii="Times New Roman" w:hAnsi="Times New Roman" w:cs="Times New Roman" w:eastAsiaTheme="minorEastAsia"/>
          <w:sz w:val="44"/>
          <w:szCs w:val="44"/>
        </w:rPr>
      </w:pPr>
      <w:r>
        <w:rPr>
          <w:rFonts w:ascii="Times New Roman" w:hAnsi="Times New Roman" w:cs="Times New Roman" w:eastAsiaTheme="minorEastAsia"/>
          <w:sz w:val="44"/>
          <w:szCs w:val="44"/>
        </w:rPr>
        <w:br w:type="page"/>
      </w:r>
      <w:r>
        <w:rPr>
          <w:rFonts w:ascii="Times New Roman" w:hAnsi="Times New Roman" w:cs="Times New Roman" w:eastAsiaTheme="minorEastAsia"/>
          <w:sz w:val="44"/>
          <w:szCs w:val="44"/>
        </w:rPr>
        <w:t>目  录</w:t>
      </w:r>
    </w:p>
    <w:p>
      <w:pPr>
        <w:pStyle w:val="21"/>
        <w:tabs>
          <w:tab w:val="right" w:leader="dot" w:pos="8637"/>
        </w:tabs>
        <w:rPr>
          <w:rFonts w:ascii="Times New Roman" w:hAnsi="Times New Roman" w:cs="Times New Roman" w:eastAsiaTheme="minorEastAsia"/>
          <w:b w:val="0"/>
          <w:bCs w:val="0"/>
          <w:caps w:val="0"/>
          <w:sz w:val="28"/>
          <w:szCs w:val="28"/>
        </w:rPr>
      </w:pPr>
      <w:r>
        <w:rPr>
          <w:rFonts w:ascii="Times New Roman" w:hAnsi="Times New Roman" w:cs="Times New Roman" w:eastAsiaTheme="minorEastAsia"/>
          <w:b w:val="0"/>
          <w:bCs w:val="0"/>
          <w:caps w:val="0"/>
          <w:kern w:val="0"/>
          <w:sz w:val="28"/>
          <w:szCs w:val="28"/>
        </w:rPr>
        <w:fldChar w:fldCharType="begin"/>
      </w:r>
      <w:r>
        <w:rPr>
          <w:rFonts w:ascii="Times New Roman" w:hAnsi="Times New Roman" w:cs="Times New Roman" w:eastAsiaTheme="minorEastAsia"/>
          <w:b w:val="0"/>
          <w:bCs w:val="0"/>
          <w:caps w:val="0"/>
          <w:kern w:val="0"/>
          <w:sz w:val="28"/>
          <w:szCs w:val="28"/>
        </w:rPr>
        <w:instrText xml:space="preserve"> TOC \o "1-2" \h \z \u </w:instrText>
      </w:r>
      <w:r>
        <w:rPr>
          <w:rFonts w:ascii="Times New Roman" w:hAnsi="Times New Roman" w:cs="Times New Roman" w:eastAsiaTheme="minorEastAsia"/>
          <w:b w:val="0"/>
          <w:bCs w:val="0"/>
          <w:caps w:val="0"/>
          <w:kern w:val="0"/>
          <w:sz w:val="28"/>
          <w:szCs w:val="28"/>
        </w:rPr>
        <w:fldChar w:fldCharType="separate"/>
      </w:r>
      <w:r>
        <w:fldChar w:fldCharType="begin"/>
      </w:r>
      <w:r>
        <w:instrText xml:space="preserve"> HYPERLINK \l "_Toc68593505" </w:instrText>
      </w:r>
      <w:r>
        <w:fldChar w:fldCharType="separate"/>
      </w:r>
      <w:r>
        <w:rPr>
          <w:rStyle w:val="36"/>
          <w:rFonts w:ascii="Times New Roman" w:hAnsi="Times New Roman"/>
          <w:sz w:val="28"/>
          <w:szCs w:val="28"/>
        </w:rPr>
        <w:t>前言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_Toc68593505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"_Toc68593506" </w:instrText>
      </w:r>
      <w:r>
        <w:fldChar w:fldCharType="separate"/>
      </w:r>
      <w:r>
        <w:rPr>
          <w:rStyle w:val="36"/>
          <w:rFonts w:ascii="Times New Roman" w:hAnsi="Times New Roman"/>
          <w:sz w:val="28"/>
          <w:szCs w:val="28"/>
        </w:rPr>
        <w:t>第1条  定义与释义</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_Toc68593506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"_Toc68593507" </w:instrText>
      </w:r>
      <w:r>
        <w:fldChar w:fldCharType="separate"/>
      </w:r>
      <w:r>
        <w:rPr>
          <w:rStyle w:val="36"/>
          <w:rFonts w:ascii="Times New Roman" w:hAnsi="Times New Roman"/>
          <w:sz w:val="28"/>
          <w:szCs w:val="28"/>
        </w:rPr>
        <w:t>1.1  定义</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_Toc68593507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"_Toc68593508" </w:instrText>
      </w:r>
      <w:r>
        <w:fldChar w:fldCharType="separate"/>
      </w:r>
      <w:r>
        <w:rPr>
          <w:rStyle w:val="36"/>
          <w:rFonts w:ascii="Times New Roman" w:hAnsi="Times New Roman"/>
          <w:sz w:val="28"/>
          <w:szCs w:val="28"/>
        </w:rPr>
        <w:t>1.2  释义</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_Toc68593508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"_Toc68593509" </w:instrText>
      </w:r>
      <w:r>
        <w:fldChar w:fldCharType="separate"/>
      </w:r>
      <w:r>
        <w:rPr>
          <w:rStyle w:val="36"/>
          <w:rFonts w:ascii="Times New Roman" w:hAnsi="Times New Roman"/>
          <w:sz w:val="28"/>
          <w:szCs w:val="28"/>
        </w:rPr>
        <w:t>第2条  特许经营权和特许经营期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_Toc68593509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"_Toc68593510" </w:instrText>
      </w:r>
      <w:r>
        <w:fldChar w:fldCharType="separate"/>
      </w:r>
      <w:r>
        <w:rPr>
          <w:rStyle w:val="36"/>
          <w:rFonts w:ascii="Times New Roman" w:hAnsi="Times New Roman"/>
          <w:sz w:val="28"/>
          <w:szCs w:val="28"/>
        </w:rPr>
        <w:t>2.1  特许经营权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_Toc68593510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"_Toc68593511" </w:instrText>
      </w:r>
      <w:r>
        <w:fldChar w:fldCharType="separate"/>
      </w:r>
      <w:r>
        <w:rPr>
          <w:rStyle w:val="36"/>
          <w:rFonts w:ascii="Times New Roman" w:hAnsi="Times New Roman"/>
          <w:sz w:val="28"/>
          <w:szCs w:val="28"/>
        </w:rPr>
        <w:t>2.2  特许经营期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_Toc68593511 \h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"_Toc68593512" </w:instrText>
      </w:r>
      <w:r>
        <w:fldChar w:fldCharType="separate"/>
      </w:r>
      <w:r>
        <w:rPr>
          <w:rStyle w:val="36"/>
          <w:rFonts w:ascii="Times New Roman" w:hAnsi="Times New Roman"/>
          <w:sz w:val="28"/>
          <w:szCs w:val="28"/>
        </w:rPr>
        <w:t>第3条  声明和保证</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_Toc68593512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"_Toc68593513" </w:instrText>
      </w:r>
      <w:r>
        <w:fldChar w:fldCharType="separate"/>
      </w:r>
      <w:r>
        <w:rPr>
          <w:rStyle w:val="36"/>
          <w:rFonts w:ascii="Times New Roman" w:hAnsi="Times New Roman"/>
          <w:sz w:val="28"/>
          <w:szCs w:val="28"/>
        </w:rPr>
        <w:t>3.1  甲方的声明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_Toc68593513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"_Toc68593514" </w:instrText>
      </w:r>
      <w:r>
        <w:fldChar w:fldCharType="separate"/>
      </w:r>
      <w:r>
        <w:rPr>
          <w:rStyle w:val="36"/>
          <w:rFonts w:ascii="Times New Roman" w:hAnsi="Times New Roman"/>
          <w:sz w:val="28"/>
          <w:szCs w:val="28"/>
        </w:rPr>
        <w:t>3.2  乙方1及乙方2的声明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_Toc68593514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"_Toc68593515" </w:instrText>
      </w:r>
      <w:r>
        <w:fldChar w:fldCharType="separate"/>
      </w:r>
      <w:r>
        <w:rPr>
          <w:rStyle w:val="36"/>
          <w:rFonts w:ascii="Times New Roman" w:hAnsi="Times New Roman"/>
          <w:sz w:val="28"/>
          <w:szCs w:val="28"/>
        </w:rPr>
        <w:t>3.3  不限制甲方的权利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_Toc68593515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"_Toc68593516" </w:instrText>
      </w:r>
      <w:r>
        <w:fldChar w:fldCharType="separate"/>
      </w:r>
      <w:r>
        <w:rPr>
          <w:rStyle w:val="36"/>
          <w:rFonts w:ascii="Times New Roman" w:hAnsi="Times New Roman"/>
          <w:sz w:val="28"/>
          <w:szCs w:val="28"/>
        </w:rPr>
        <w:t>3.4  履约保证金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_Toc68593516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"_Toc68593517" </w:instrText>
      </w:r>
      <w:r>
        <w:fldChar w:fldCharType="separate"/>
      </w:r>
      <w:r>
        <w:rPr>
          <w:rStyle w:val="36"/>
          <w:rFonts w:ascii="Times New Roman" w:hAnsi="Times New Roman"/>
          <w:sz w:val="28"/>
          <w:szCs w:val="28"/>
        </w:rPr>
        <w:t>第4条  双方的一般权利和义务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_Toc68593517 \h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"_Toc68593518" </w:instrText>
      </w:r>
      <w:r>
        <w:fldChar w:fldCharType="separate"/>
      </w:r>
      <w:r>
        <w:rPr>
          <w:rStyle w:val="36"/>
          <w:rFonts w:ascii="Times New Roman" w:hAnsi="Times New Roman"/>
          <w:sz w:val="28"/>
          <w:szCs w:val="28"/>
        </w:rPr>
        <w:t>4.1  甲方的一般权利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_Toc68593518 \h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"_Toc68593519" </w:instrText>
      </w:r>
      <w:r>
        <w:fldChar w:fldCharType="separate"/>
      </w:r>
      <w:r>
        <w:rPr>
          <w:rStyle w:val="36"/>
          <w:rFonts w:ascii="Times New Roman" w:hAnsi="Times New Roman"/>
          <w:sz w:val="28"/>
          <w:szCs w:val="28"/>
        </w:rPr>
        <w:t>4.2 甲方的一般义务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_Toc68593519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"_Toc68593520" </w:instrText>
      </w:r>
      <w:r>
        <w:fldChar w:fldCharType="separate"/>
      </w:r>
      <w:r>
        <w:rPr>
          <w:rStyle w:val="36"/>
          <w:rFonts w:ascii="Times New Roman" w:hAnsi="Times New Roman"/>
          <w:sz w:val="28"/>
          <w:szCs w:val="28"/>
        </w:rPr>
        <w:t>4.3  乙方1的一般权利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_Toc68593520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"_Toc68593521" </w:instrText>
      </w:r>
      <w:r>
        <w:fldChar w:fldCharType="separate"/>
      </w:r>
      <w:r>
        <w:rPr>
          <w:rStyle w:val="36"/>
          <w:rFonts w:ascii="Times New Roman" w:hAnsi="Times New Roman"/>
          <w:sz w:val="28"/>
          <w:szCs w:val="28"/>
        </w:rPr>
        <w:t>4.4  乙方1的一般义务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_Toc68593521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"_Toc68593522" </w:instrText>
      </w:r>
      <w:r>
        <w:fldChar w:fldCharType="separate"/>
      </w:r>
      <w:r>
        <w:rPr>
          <w:rStyle w:val="36"/>
          <w:rFonts w:ascii="Times New Roman" w:hAnsi="Times New Roman"/>
          <w:sz w:val="28"/>
          <w:szCs w:val="28"/>
        </w:rPr>
        <w:t>第5条  项目前期工作和融资交割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_Toc68593522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"_Toc68593523" </w:instrText>
      </w:r>
      <w:r>
        <w:fldChar w:fldCharType="separate"/>
      </w:r>
      <w:r>
        <w:rPr>
          <w:rStyle w:val="36"/>
          <w:rFonts w:ascii="Times New Roman" w:hAnsi="Times New Roman"/>
          <w:sz w:val="28"/>
          <w:szCs w:val="28"/>
        </w:rPr>
        <w:t>5.1  前期工作及前期费用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_Toc68593523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"_Toc68593524" </w:instrText>
      </w:r>
      <w:r>
        <w:fldChar w:fldCharType="separate"/>
      </w:r>
      <w:r>
        <w:rPr>
          <w:rStyle w:val="36"/>
          <w:rFonts w:ascii="Times New Roman" w:hAnsi="Times New Roman"/>
          <w:sz w:val="28"/>
          <w:szCs w:val="28"/>
        </w:rPr>
        <w:t>5.2  融资交割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_Toc68593524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"_Toc68593525" </w:instrText>
      </w:r>
      <w:r>
        <w:fldChar w:fldCharType="separate"/>
      </w:r>
      <w:r>
        <w:rPr>
          <w:rStyle w:val="36"/>
          <w:rFonts w:ascii="Times New Roman" w:hAnsi="Times New Roman"/>
          <w:sz w:val="28"/>
          <w:szCs w:val="28"/>
        </w:rPr>
        <w:t>第6条  项目建设用地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_Toc68593525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"_Toc68593526" </w:instrText>
      </w:r>
      <w:r>
        <w:fldChar w:fldCharType="separate"/>
      </w:r>
      <w:r>
        <w:rPr>
          <w:rStyle w:val="36"/>
          <w:rFonts w:ascii="Times New Roman" w:hAnsi="Times New Roman"/>
          <w:sz w:val="28"/>
          <w:szCs w:val="28"/>
        </w:rPr>
        <w:t>6.1  征地拆迁</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_Toc68593526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"_Toc68593527" </w:instrText>
      </w:r>
      <w:r>
        <w:fldChar w:fldCharType="separate"/>
      </w:r>
      <w:r>
        <w:rPr>
          <w:rStyle w:val="36"/>
          <w:rFonts w:ascii="Times New Roman" w:hAnsi="Times New Roman"/>
          <w:sz w:val="28"/>
          <w:szCs w:val="28"/>
        </w:rPr>
        <w:t>6.2  土地使用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_Toc68593527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"_Toc68593528" </w:instrText>
      </w:r>
      <w:r>
        <w:fldChar w:fldCharType="separate"/>
      </w:r>
      <w:r>
        <w:rPr>
          <w:rStyle w:val="36"/>
          <w:rFonts w:ascii="Times New Roman" w:hAnsi="Times New Roman"/>
          <w:sz w:val="28"/>
          <w:szCs w:val="28"/>
        </w:rPr>
        <w:t>第7条  项目建设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_Toc68593528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"_Toc68593529" </w:instrText>
      </w:r>
      <w:r>
        <w:fldChar w:fldCharType="separate"/>
      </w:r>
      <w:r>
        <w:rPr>
          <w:rStyle w:val="36"/>
          <w:rFonts w:ascii="Times New Roman" w:hAnsi="Times New Roman"/>
          <w:sz w:val="28"/>
          <w:szCs w:val="28"/>
        </w:rPr>
        <w:t>7.1  设计、监理机构</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_Toc68593529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"_Toc68593530" </w:instrText>
      </w:r>
      <w:r>
        <w:fldChar w:fldCharType="separate"/>
      </w:r>
      <w:r>
        <w:rPr>
          <w:rStyle w:val="36"/>
          <w:rFonts w:ascii="Times New Roman" w:hAnsi="Times New Roman"/>
          <w:sz w:val="28"/>
          <w:szCs w:val="28"/>
        </w:rPr>
        <w:t>7.2  工程协调和管理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_Toc68593530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"_Toc68593531" </w:instrText>
      </w:r>
      <w:r>
        <w:fldChar w:fldCharType="separate"/>
      </w:r>
      <w:r>
        <w:rPr>
          <w:rStyle w:val="36"/>
          <w:rFonts w:ascii="Times New Roman" w:hAnsi="Times New Roman"/>
          <w:sz w:val="28"/>
          <w:szCs w:val="28"/>
        </w:rPr>
        <w:t>7.3  关联合同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_Toc68593531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"_Toc68593532" </w:instrText>
      </w:r>
      <w:r>
        <w:fldChar w:fldCharType="separate"/>
      </w:r>
      <w:r>
        <w:rPr>
          <w:rStyle w:val="36"/>
          <w:rFonts w:ascii="Times New Roman" w:hAnsi="Times New Roman"/>
          <w:sz w:val="28"/>
          <w:szCs w:val="28"/>
        </w:rPr>
        <w:t>7.4  工程进度</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_Toc68593532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"_Toc68593533" </w:instrText>
      </w:r>
      <w:r>
        <w:fldChar w:fldCharType="separate"/>
      </w:r>
      <w:r>
        <w:rPr>
          <w:rStyle w:val="36"/>
          <w:rFonts w:ascii="Times New Roman" w:hAnsi="Times New Roman"/>
          <w:sz w:val="28"/>
          <w:szCs w:val="28"/>
        </w:rPr>
        <w:t>7.5  工程招标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_Toc68593533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"_Toc68593534" </w:instrText>
      </w:r>
      <w:r>
        <w:fldChar w:fldCharType="separate"/>
      </w:r>
      <w:r>
        <w:rPr>
          <w:rStyle w:val="36"/>
          <w:rFonts w:ascii="Times New Roman" w:hAnsi="Times New Roman"/>
          <w:sz w:val="28"/>
          <w:szCs w:val="28"/>
        </w:rPr>
        <w:t>7.6  现场数据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_Toc68593534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"_Toc68593535" </w:instrText>
      </w:r>
      <w:r>
        <w:fldChar w:fldCharType="separate"/>
      </w:r>
      <w:r>
        <w:rPr>
          <w:rStyle w:val="36"/>
          <w:rFonts w:ascii="Times New Roman" w:hAnsi="Times New Roman"/>
          <w:sz w:val="28"/>
          <w:szCs w:val="28"/>
        </w:rPr>
        <w:t>7.7  进场路线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_Toc68593535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"_Toc68593536" </w:instrText>
      </w:r>
      <w:r>
        <w:fldChar w:fldCharType="separate"/>
      </w:r>
      <w:r>
        <w:rPr>
          <w:rStyle w:val="36"/>
          <w:rFonts w:ascii="Times New Roman" w:hAnsi="Times New Roman"/>
          <w:sz w:val="28"/>
          <w:szCs w:val="28"/>
        </w:rPr>
        <w:t>7.8  现场管理和环境保护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_Toc68593536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"_Toc68593537" </w:instrText>
      </w:r>
      <w:r>
        <w:fldChar w:fldCharType="separate"/>
      </w:r>
      <w:r>
        <w:rPr>
          <w:rStyle w:val="36"/>
          <w:rFonts w:ascii="Times New Roman" w:hAnsi="Times New Roman"/>
          <w:sz w:val="28"/>
          <w:szCs w:val="28"/>
        </w:rPr>
        <w:t>7.9  工程变更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_Toc68593537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"_Toc68593538" </w:instrText>
      </w:r>
      <w:r>
        <w:fldChar w:fldCharType="separate"/>
      </w:r>
      <w:r>
        <w:rPr>
          <w:rStyle w:val="36"/>
          <w:rFonts w:ascii="Times New Roman" w:hAnsi="Times New Roman"/>
          <w:sz w:val="28"/>
          <w:szCs w:val="28"/>
        </w:rPr>
        <w:t>7.10  项目文件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_Toc68593538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"_Toc68593539" </w:instrText>
      </w:r>
      <w:r>
        <w:fldChar w:fldCharType="separate"/>
      </w:r>
      <w:r>
        <w:rPr>
          <w:rStyle w:val="36"/>
          <w:rFonts w:ascii="Times New Roman" w:hAnsi="Times New Roman"/>
          <w:sz w:val="28"/>
          <w:szCs w:val="28"/>
        </w:rPr>
        <w:t>7.11  职员与劳工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_Toc68593539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"_Toc68593540" </w:instrText>
      </w:r>
      <w:r>
        <w:fldChar w:fldCharType="separate"/>
      </w:r>
      <w:r>
        <w:rPr>
          <w:rStyle w:val="36"/>
          <w:rFonts w:ascii="Times New Roman" w:hAnsi="Times New Roman"/>
          <w:sz w:val="28"/>
          <w:szCs w:val="28"/>
        </w:rPr>
        <w:t>7.12  工程设备、材料和工艺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_Toc68593540 \h </w:instrText>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"_Toc68593541" </w:instrText>
      </w:r>
      <w:r>
        <w:fldChar w:fldCharType="separate"/>
      </w:r>
      <w:r>
        <w:rPr>
          <w:rStyle w:val="36"/>
          <w:rFonts w:ascii="Times New Roman" w:hAnsi="Times New Roman"/>
          <w:sz w:val="28"/>
          <w:szCs w:val="28"/>
        </w:rPr>
        <w:t>7.13  开工、延误、暂停和复工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_Toc68593541 \h </w:instrText>
      </w:r>
      <w:r>
        <w:rPr>
          <w:rFonts w:ascii="Times New Roman" w:hAnsi="Times New Roman" w:cs="Times New Roman"/>
          <w:sz w:val="28"/>
          <w:szCs w:val="28"/>
        </w:rPr>
        <w:fldChar w:fldCharType="separate"/>
      </w:r>
      <w:r>
        <w:rPr>
          <w:rFonts w:ascii="Times New Roman" w:hAnsi="Times New Roman" w:cs="Times New Roman"/>
          <w:sz w:val="28"/>
          <w:szCs w:val="28"/>
        </w:rPr>
        <w:t>39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"_Toc68593542" </w:instrText>
      </w:r>
      <w:r>
        <w:fldChar w:fldCharType="separate"/>
      </w:r>
      <w:r>
        <w:rPr>
          <w:rStyle w:val="36"/>
          <w:rFonts w:ascii="Times New Roman" w:hAnsi="Times New Roman"/>
          <w:sz w:val="28"/>
          <w:szCs w:val="28"/>
        </w:rPr>
        <w:t>7.14  交工和竣工验收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_Toc68593542 \h </w:instrText>
      </w:r>
      <w:r>
        <w:rPr>
          <w:rFonts w:ascii="Times New Roman" w:hAnsi="Times New Roman" w:cs="Times New Roman"/>
          <w:sz w:val="28"/>
          <w:szCs w:val="28"/>
        </w:rPr>
        <w:fldChar w:fldCharType="separate"/>
      </w:r>
      <w:r>
        <w:rPr>
          <w:rFonts w:ascii="Times New Roman" w:hAnsi="Times New Roman"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"_Toc68593543" </w:instrText>
      </w:r>
      <w:r>
        <w:fldChar w:fldCharType="separate"/>
      </w:r>
      <w:r>
        <w:rPr>
          <w:rStyle w:val="36"/>
          <w:rFonts w:ascii="Times New Roman" w:hAnsi="Times New Roman"/>
          <w:sz w:val="28"/>
          <w:szCs w:val="28"/>
        </w:rPr>
        <w:t>7.15  质量控制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_Toc68593543 \h </w:instrText>
      </w:r>
      <w:r>
        <w:rPr>
          <w:rFonts w:ascii="Times New Roman" w:hAnsi="Times New Roman" w:cs="Times New Roman"/>
          <w:sz w:val="28"/>
          <w:szCs w:val="28"/>
        </w:rPr>
        <w:fldChar w:fldCharType="separate"/>
      </w:r>
      <w:r>
        <w:rPr>
          <w:rFonts w:ascii="Times New Roman" w:hAnsi="Times New Roman" w:cs="Times New Roman"/>
          <w:sz w:val="28"/>
          <w:szCs w:val="28"/>
        </w:rPr>
        <w:t>42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"_Toc68593544" </w:instrText>
      </w:r>
      <w:r>
        <w:fldChar w:fldCharType="separate"/>
      </w:r>
      <w:r>
        <w:rPr>
          <w:rStyle w:val="36"/>
          <w:rFonts w:ascii="Times New Roman" w:hAnsi="Times New Roman"/>
          <w:sz w:val="28"/>
          <w:szCs w:val="28"/>
        </w:rPr>
        <w:t>7.16  建设的放弃和甲方介入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_Toc68593544 \h </w:instrText>
      </w:r>
      <w:r>
        <w:rPr>
          <w:rFonts w:ascii="Times New Roman" w:hAnsi="Times New Roman" w:cs="Times New Roman"/>
          <w:sz w:val="28"/>
          <w:szCs w:val="28"/>
        </w:rPr>
        <w:fldChar w:fldCharType="separate"/>
      </w:r>
      <w:r>
        <w:rPr>
          <w:rFonts w:ascii="Times New Roman" w:hAnsi="Times New Roman" w:cs="Times New Roman"/>
          <w:sz w:val="28"/>
          <w:szCs w:val="28"/>
        </w:rPr>
        <w:t>44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"_Toc68593545" </w:instrText>
      </w:r>
      <w:r>
        <w:fldChar w:fldCharType="separate"/>
      </w:r>
      <w:r>
        <w:rPr>
          <w:rStyle w:val="36"/>
          <w:rFonts w:ascii="Times New Roman" w:hAnsi="Times New Roman"/>
          <w:sz w:val="28"/>
          <w:szCs w:val="28"/>
        </w:rPr>
        <w:t>7.17  建设期考核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_Toc68593545 \h </w:instrText>
      </w:r>
      <w:r>
        <w:rPr>
          <w:rFonts w:ascii="Times New Roman" w:hAnsi="Times New Roman" w:cs="Times New Roman"/>
          <w:sz w:val="28"/>
          <w:szCs w:val="28"/>
        </w:rPr>
        <w:fldChar w:fldCharType="separate"/>
      </w:r>
      <w:r>
        <w:rPr>
          <w:rFonts w:ascii="Times New Roman" w:hAnsi="Times New Roman" w:cs="Times New Roman"/>
          <w:sz w:val="28"/>
          <w:szCs w:val="28"/>
        </w:rPr>
        <w:t>46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"_Toc68593546" </w:instrText>
      </w:r>
      <w:r>
        <w:fldChar w:fldCharType="separate"/>
      </w:r>
      <w:r>
        <w:rPr>
          <w:rStyle w:val="36"/>
          <w:rFonts w:ascii="Times New Roman" w:hAnsi="Times New Roman"/>
          <w:sz w:val="28"/>
          <w:szCs w:val="28"/>
        </w:rPr>
        <w:t>第8条  项目设施运营管理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_Toc68593546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"_Toc68593547" </w:instrText>
      </w:r>
      <w:r>
        <w:fldChar w:fldCharType="separate"/>
      </w:r>
      <w:r>
        <w:rPr>
          <w:rStyle w:val="36"/>
          <w:rFonts w:ascii="Times New Roman" w:hAnsi="Times New Roman"/>
          <w:sz w:val="28"/>
          <w:szCs w:val="28"/>
        </w:rPr>
        <w:t>8.1  运营管理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_Toc68593547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"_Toc68593548" </w:instrText>
      </w:r>
      <w:r>
        <w:fldChar w:fldCharType="separate"/>
      </w:r>
      <w:r>
        <w:rPr>
          <w:rStyle w:val="36"/>
          <w:rFonts w:ascii="Times New Roman" w:hAnsi="Times New Roman"/>
          <w:sz w:val="28"/>
          <w:szCs w:val="28"/>
        </w:rPr>
        <w:t>8.2  经营管理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_Toc68593548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"_Toc68593549" </w:instrText>
      </w:r>
      <w:r>
        <w:fldChar w:fldCharType="separate"/>
      </w:r>
      <w:r>
        <w:rPr>
          <w:rStyle w:val="36"/>
          <w:rFonts w:ascii="Times New Roman" w:hAnsi="Times New Roman"/>
          <w:sz w:val="28"/>
          <w:szCs w:val="28"/>
        </w:rPr>
        <w:t>8.3  养护管理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_Toc68593549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"_Toc68593550" </w:instrText>
      </w:r>
      <w:r>
        <w:fldChar w:fldCharType="separate"/>
      </w:r>
      <w:r>
        <w:rPr>
          <w:rStyle w:val="36"/>
          <w:rFonts w:ascii="Times New Roman" w:hAnsi="Times New Roman"/>
          <w:sz w:val="28"/>
          <w:szCs w:val="28"/>
        </w:rPr>
        <w:t>8.4  路政管理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_Toc68593550 \h </w:instrText>
      </w:r>
      <w:r>
        <w:rPr>
          <w:rFonts w:ascii="Times New Roman" w:hAnsi="Times New Roman" w:cs="Times New Roman"/>
          <w:sz w:val="28"/>
          <w:szCs w:val="28"/>
        </w:rPr>
        <w:fldChar w:fldCharType="separate"/>
      </w:r>
      <w:r>
        <w:rPr>
          <w:rFonts w:ascii="Times New Roman" w:hAnsi="Times New Roman" w:cs="Times New Roman"/>
          <w:sz w:val="28"/>
          <w:szCs w:val="28"/>
        </w:rPr>
        <w:t>51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"_Toc68593551" </w:instrText>
      </w:r>
      <w:r>
        <w:fldChar w:fldCharType="separate"/>
      </w:r>
      <w:r>
        <w:rPr>
          <w:rStyle w:val="36"/>
          <w:rFonts w:ascii="Times New Roman" w:hAnsi="Times New Roman"/>
          <w:sz w:val="28"/>
          <w:szCs w:val="28"/>
        </w:rPr>
        <w:t>8.5  交通管理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_Toc68593551 \h </w:instrText>
      </w:r>
      <w:r>
        <w:rPr>
          <w:rFonts w:ascii="Times New Roman" w:hAnsi="Times New Roman" w:cs="Times New Roman"/>
          <w:sz w:val="28"/>
          <w:szCs w:val="28"/>
        </w:rPr>
        <w:fldChar w:fldCharType="separate"/>
      </w:r>
      <w:r>
        <w:rPr>
          <w:rFonts w:ascii="Times New Roman" w:hAnsi="Times New Roman" w:cs="Times New Roman"/>
          <w:sz w:val="28"/>
          <w:szCs w:val="28"/>
        </w:rPr>
        <w:t>53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"_Toc68593552" </w:instrText>
      </w:r>
      <w:r>
        <w:fldChar w:fldCharType="separate"/>
      </w:r>
      <w:r>
        <w:rPr>
          <w:rStyle w:val="36"/>
          <w:rFonts w:ascii="Times New Roman" w:hAnsi="Times New Roman"/>
          <w:sz w:val="28"/>
          <w:szCs w:val="28"/>
        </w:rPr>
        <w:t>8.6  应急抢修抢险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_Toc68593552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"_Toc68593553" </w:instrText>
      </w:r>
      <w:r>
        <w:fldChar w:fldCharType="separate"/>
      </w:r>
      <w:r>
        <w:rPr>
          <w:rStyle w:val="36"/>
          <w:rFonts w:ascii="Times New Roman" w:hAnsi="Times New Roman"/>
          <w:sz w:val="28"/>
          <w:szCs w:val="28"/>
        </w:rPr>
        <w:t>8.7  临时接管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_Toc68593553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"_Toc68593554" </w:instrText>
      </w:r>
      <w:r>
        <w:fldChar w:fldCharType="separate"/>
      </w:r>
      <w:r>
        <w:rPr>
          <w:rStyle w:val="36"/>
          <w:rFonts w:ascii="Times New Roman" w:hAnsi="Times New Roman"/>
          <w:sz w:val="28"/>
          <w:szCs w:val="28"/>
        </w:rPr>
        <w:t>8.8  运营期考核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_Toc68593554 \h </w:instrText>
      </w:r>
      <w:r>
        <w:rPr>
          <w:rFonts w:ascii="Times New Roman" w:hAnsi="Times New Roman" w:cs="Times New Roman"/>
          <w:sz w:val="28"/>
          <w:szCs w:val="28"/>
        </w:rPr>
        <w:fldChar w:fldCharType="separate"/>
      </w:r>
      <w:r>
        <w:rPr>
          <w:rFonts w:ascii="Times New Roman" w:hAnsi="Times New Roman" w:cs="Times New Roman"/>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"_Toc68593555" </w:instrText>
      </w:r>
      <w:r>
        <w:fldChar w:fldCharType="separate"/>
      </w:r>
      <w:r>
        <w:rPr>
          <w:rStyle w:val="36"/>
          <w:rFonts w:ascii="Times New Roman" w:hAnsi="Times New Roman"/>
          <w:sz w:val="28"/>
          <w:szCs w:val="28"/>
        </w:rPr>
        <w:t>第9条  报告和中期评估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_Toc68593555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"_Toc68593556" </w:instrText>
      </w:r>
      <w:r>
        <w:fldChar w:fldCharType="separate"/>
      </w:r>
      <w:r>
        <w:rPr>
          <w:rStyle w:val="36"/>
          <w:rFonts w:ascii="Times New Roman" w:hAnsi="Times New Roman"/>
          <w:sz w:val="28"/>
          <w:szCs w:val="28"/>
        </w:rPr>
        <w:t>9.1  定期报告</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_Toc68593556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"_Toc68593557" </w:instrText>
      </w:r>
      <w:r>
        <w:fldChar w:fldCharType="separate"/>
      </w:r>
      <w:r>
        <w:rPr>
          <w:rStyle w:val="36"/>
          <w:rFonts w:ascii="Times New Roman" w:hAnsi="Times New Roman"/>
          <w:sz w:val="28"/>
          <w:szCs w:val="28"/>
        </w:rPr>
        <w:t>9.2  临时报告</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_Toc68593557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"_Toc68593558" </w:instrText>
      </w:r>
      <w:r>
        <w:fldChar w:fldCharType="separate"/>
      </w:r>
      <w:r>
        <w:rPr>
          <w:rStyle w:val="36"/>
          <w:rFonts w:ascii="Times New Roman" w:hAnsi="Times New Roman"/>
          <w:sz w:val="28"/>
          <w:szCs w:val="28"/>
        </w:rPr>
        <w:t>9.3  中期评估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_Toc68593558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"_Toc68593559" </w:instrText>
      </w:r>
      <w:r>
        <w:fldChar w:fldCharType="separate"/>
      </w:r>
      <w:r>
        <w:rPr>
          <w:rStyle w:val="36"/>
          <w:rFonts w:ascii="Times New Roman" w:hAnsi="Times New Roman"/>
          <w:sz w:val="28"/>
          <w:szCs w:val="28"/>
        </w:rPr>
        <w:t>第10条  收费管理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_Toc68593559 \h </w:instrText>
      </w:r>
      <w:r>
        <w:rPr>
          <w:rFonts w:ascii="Times New Roman" w:hAnsi="Times New Roman" w:cs="Times New Roman"/>
          <w:sz w:val="28"/>
          <w:szCs w:val="28"/>
        </w:rPr>
        <w:fldChar w:fldCharType="separate"/>
      </w:r>
      <w:r>
        <w:rPr>
          <w:rFonts w:ascii="Times New Roman" w:hAnsi="Times New Roman" w:cs="Times New Roman"/>
          <w:sz w:val="28"/>
          <w:szCs w:val="28"/>
        </w:rPr>
        <w:t>60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"_Toc68593560" </w:instrText>
      </w:r>
      <w:r>
        <w:fldChar w:fldCharType="separate"/>
      </w:r>
      <w:r>
        <w:rPr>
          <w:rStyle w:val="36"/>
          <w:rFonts w:ascii="Times New Roman" w:hAnsi="Times New Roman"/>
          <w:sz w:val="28"/>
          <w:szCs w:val="28"/>
        </w:rPr>
        <w:t>10.1  收费站的管理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_Toc68593560 \h </w:instrText>
      </w:r>
      <w:r>
        <w:rPr>
          <w:rFonts w:ascii="Times New Roman" w:hAnsi="Times New Roman" w:cs="Times New Roman"/>
          <w:sz w:val="28"/>
          <w:szCs w:val="28"/>
        </w:rPr>
        <w:fldChar w:fldCharType="separate"/>
      </w:r>
      <w:r>
        <w:rPr>
          <w:rFonts w:ascii="Times New Roman" w:hAnsi="Times New Roman" w:cs="Times New Roman"/>
          <w:sz w:val="28"/>
          <w:szCs w:val="28"/>
        </w:rPr>
        <w:t>60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"_Toc68593561" </w:instrText>
      </w:r>
      <w:r>
        <w:fldChar w:fldCharType="separate"/>
      </w:r>
      <w:r>
        <w:rPr>
          <w:rStyle w:val="36"/>
          <w:rFonts w:ascii="Times New Roman" w:hAnsi="Times New Roman"/>
          <w:sz w:val="28"/>
          <w:szCs w:val="28"/>
        </w:rPr>
        <w:t>10.2  收费联网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_Toc68593561 \h </w:instrText>
      </w:r>
      <w:r>
        <w:rPr>
          <w:rFonts w:ascii="Times New Roman" w:hAnsi="Times New Roman" w:cs="Times New Roman"/>
          <w:sz w:val="28"/>
          <w:szCs w:val="28"/>
        </w:rPr>
        <w:fldChar w:fldCharType="separate"/>
      </w:r>
      <w:r>
        <w:rPr>
          <w:rFonts w:ascii="Times New Roman" w:hAnsi="Times New Roman" w:cs="Times New Roman"/>
          <w:sz w:val="28"/>
          <w:szCs w:val="28"/>
        </w:rPr>
        <w:t>60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"_Toc68593562" </w:instrText>
      </w:r>
      <w:r>
        <w:fldChar w:fldCharType="separate"/>
      </w:r>
      <w:r>
        <w:rPr>
          <w:rStyle w:val="36"/>
          <w:rFonts w:ascii="Times New Roman" w:hAnsi="Times New Roman"/>
          <w:sz w:val="28"/>
          <w:szCs w:val="28"/>
        </w:rPr>
        <w:t>10.3  联网收费机电系统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_Toc68593562 \h </w:instrText>
      </w:r>
      <w:r>
        <w:rPr>
          <w:rFonts w:ascii="Times New Roman" w:hAnsi="Times New Roman" w:cs="Times New Roman"/>
          <w:sz w:val="28"/>
          <w:szCs w:val="28"/>
        </w:rPr>
        <w:fldChar w:fldCharType="separate"/>
      </w:r>
      <w:r>
        <w:rPr>
          <w:rFonts w:ascii="Times New Roman" w:hAnsi="Times New Roman" w:cs="Times New Roman"/>
          <w:sz w:val="28"/>
          <w:szCs w:val="28"/>
        </w:rPr>
        <w:t>61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"_Toc68593563" </w:instrText>
      </w:r>
      <w:r>
        <w:fldChar w:fldCharType="separate"/>
      </w:r>
      <w:r>
        <w:rPr>
          <w:rStyle w:val="36"/>
          <w:rFonts w:ascii="Times New Roman" w:hAnsi="Times New Roman"/>
          <w:sz w:val="28"/>
          <w:szCs w:val="28"/>
        </w:rPr>
        <w:t>10.4  计费方式及收费标准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_Toc68593563 \h </w:instrText>
      </w:r>
      <w:r>
        <w:rPr>
          <w:rFonts w:ascii="Times New Roman" w:hAnsi="Times New Roman" w:cs="Times New Roman"/>
          <w:sz w:val="28"/>
          <w:szCs w:val="28"/>
        </w:rPr>
        <w:fldChar w:fldCharType="separate"/>
      </w:r>
      <w:r>
        <w:rPr>
          <w:rFonts w:ascii="Times New Roman" w:hAnsi="Times New Roman" w:cs="Times New Roman"/>
          <w:sz w:val="28"/>
          <w:szCs w:val="28"/>
        </w:rPr>
        <w:t>61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"_Toc68593564" </w:instrText>
      </w:r>
      <w:r>
        <w:fldChar w:fldCharType="separate"/>
      </w:r>
      <w:r>
        <w:rPr>
          <w:rStyle w:val="36"/>
          <w:rFonts w:ascii="Times New Roman" w:hAnsi="Times New Roman"/>
          <w:sz w:val="28"/>
          <w:szCs w:val="28"/>
        </w:rPr>
        <w:t>10.5  收费标准确定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_Toc68593564 \h </w:instrText>
      </w:r>
      <w:r>
        <w:rPr>
          <w:rFonts w:ascii="Times New Roman" w:hAnsi="Times New Roman" w:cs="Times New Roman"/>
          <w:sz w:val="28"/>
          <w:szCs w:val="28"/>
        </w:rPr>
        <w:fldChar w:fldCharType="separate"/>
      </w:r>
      <w:r>
        <w:rPr>
          <w:rFonts w:ascii="Times New Roman" w:hAnsi="Times New Roman" w:cs="Times New Roman"/>
          <w:sz w:val="28"/>
          <w:szCs w:val="28"/>
        </w:rPr>
        <w:t>62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"_Toc68593565" </w:instrText>
      </w:r>
      <w:r>
        <w:fldChar w:fldCharType="separate"/>
      </w:r>
      <w:r>
        <w:rPr>
          <w:rStyle w:val="36"/>
          <w:rFonts w:ascii="Times New Roman" w:hAnsi="Times New Roman"/>
          <w:sz w:val="28"/>
          <w:szCs w:val="28"/>
        </w:rPr>
        <w:t>10.6  设站审批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_Toc68593565 \h </w:instrText>
      </w:r>
      <w:r>
        <w:rPr>
          <w:rFonts w:ascii="Times New Roman" w:hAnsi="Times New Roman" w:cs="Times New Roman"/>
          <w:sz w:val="28"/>
          <w:szCs w:val="28"/>
        </w:rPr>
        <w:fldChar w:fldCharType="separate"/>
      </w:r>
      <w:r>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"_Toc68593566" </w:instrText>
      </w:r>
      <w:r>
        <w:fldChar w:fldCharType="separate"/>
      </w:r>
      <w:r>
        <w:rPr>
          <w:rStyle w:val="36"/>
          <w:rFonts w:ascii="Times New Roman" w:hAnsi="Times New Roman"/>
          <w:sz w:val="28"/>
          <w:szCs w:val="28"/>
        </w:rPr>
        <w:t>10.7  收费年限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_Toc68593566 \h </w:instrText>
      </w:r>
      <w:r>
        <w:rPr>
          <w:rFonts w:ascii="Times New Roman" w:hAnsi="Times New Roman" w:cs="Times New Roman"/>
          <w:sz w:val="28"/>
          <w:szCs w:val="28"/>
        </w:rPr>
        <w:fldChar w:fldCharType="separate"/>
      </w:r>
      <w:r>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"_Toc68593567" </w:instrText>
      </w:r>
      <w:r>
        <w:fldChar w:fldCharType="separate"/>
      </w:r>
      <w:r>
        <w:rPr>
          <w:rStyle w:val="36"/>
          <w:rFonts w:ascii="Times New Roman" w:hAnsi="Times New Roman"/>
          <w:sz w:val="28"/>
          <w:szCs w:val="28"/>
        </w:rPr>
        <w:t>10.8  车辆通行费减免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_Toc68593567 \h </w:instrText>
      </w:r>
      <w:r>
        <w:rPr>
          <w:rFonts w:ascii="Times New Roman" w:hAnsi="Times New Roman" w:cs="Times New Roman"/>
          <w:sz w:val="28"/>
          <w:szCs w:val="28"/>
        </w:rPr>
        <w:fldChar w:fldCharType="separate"/>
      </w:r>
      <w:r>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"_Toc68593568" </w:instrText>
      </w:r>
      <w:r>
        <w:fldChar w:fldCharType="separate"/>
      </w:r>
      <w:r>
        <w:rPr>
          <w:rStyle w:val="36"/>
          <w:rFonts w:ascii="Times New Roman" w:hAnsi="Times New Roman"/>
          <w:sz w:val="28"/>
          <w:szCs w:val="28"/>
        </w:rPr>
        <w:t>10.9  统计职责及信息公开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_Toc68593568 \h </w:instrText>
      </w:r>
      <w:r>
        <w:rPr>
          <w:rFonts w:ascii="Times New Roman" w:hAnsi="Times New Roman" w:cs="Times New Roman"/>
          <w:sz w:val="28"/>
          <w:szCs w:val="28"/>
        </w:rPr>
        <w:fldChar w:fldCharType="separate"/>
      </w:r>
      <w:r>
        <w:rPr>
          <w:rFonts w:ascii="Times New Roman" w:hAnsi="Times New Roman" w:cs="Times New Roman"/>
          <w:sz w:val="28"/>
          <w:szCs w:val="28"/>
        </w:rPr>
        <w:t>64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"_Toc68593569" </w:instrText>
      </w:r>
      <w:r>
        <w:fldChar w:fldCharType="separate"/>
      </w:r>
      <w:r>
        <w:rPr>
          <w:rStyle w:val="36"/>
          <w:rFonts w:ascii="Times New Roman" w:hAnsi="Times New Roman"/>
          <w:sz w:val="28"/>
          <w:szCs w:val="28"/>
        </w:rPr>
        <w:t>10.10  优质服务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_Toc68593569 \h </w:instrText>
      </w:r>
      <w:r>
        <w:rPr>
          <w:rFonts w:ascii="Times New Roman" w:hAnsi="Times New Roman" w:cs="Times New Roman"/>
          <w:sz w:val="28"/>
          <w:szCs w:val="28"/>
        </w:rPr>
        <w:fldChar w:fldCharType="separate"/>
      </w:r>
      <w:r>
        <w:rPr>
          <w:rFonts w:ascii="Times New Roman" w:hAnsi="Times New Roman" w:cs="Times New Roman"/>
          <w:sz w:val="28"/>
          <w:szCs w:val="28"/>
        </w:rPr>
        <w:t>64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"_Toc68593570" </w:instrText>
      </w:r>
      <w:r>
        <w:fldChar w:fldCharType="separate"/>
      </w:r>
      <w:r>
        <w:rPr>
          <w:rStyle w:val="36"/>
          <w:rFonts w:ascii="Times New Roman" w:hAnsi="Times New Roman"/>
          <w:sz w:val="28"/>
          <w:szCs w:val="28"/>
        </w:rPr>
        <w:t>第11条  交通量与项目内部收益率过高引起的调整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_Toc68593570 \h </w:instrText>
      </w:r>
      <w:r>
        <w:rPr>
          <w:rFonts w:ascii="Times New Roman" w:hAnsi="Times New Roman" w:cs="Times New Roman"/>
          <w:sz w:val="28"/>
          <w:szCs w:val="28"/>
        </w:rPr>
        <w:fldChar w:fldCharType="separate"/>
      </w:r>
      <w:r>
        <w:rPr>
          <w:rFonts w:ascii="Times New Roman" w:hAnsi="Times New Roman" w:cs="Times New Roman"/>
          <w:sz w:val="28"/>
          <w:szCs w:val="28"/>
        </w:rPr>
        <w:t>65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"_Toc68593571" </w:instrText>
      </w:r>
      <w:r>
        <w:fldChar w:fldCharType="separate"/>
      </w:r>
      <w:r>
        <w:rPr>
          <w:rStyle w:val="36"/>
          <w:rFonts w:ascii="Times New Roman" w:hAnsi="Times New Roman"/>
          <w:sz w:val="28"/>
          <w:szCs w:val="28"/>
        </w:rPr>
        <w:t>11.1  交通量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_Toc68593571 \h </w:instrText>
      </w:r>
      <w:r>
        <w:rPr>
          <w:rFonts w:ascii="Times New Roman" w:hAnsi="Times New Roman" w:cs="Times New Roman"/>
          <w:sz w:val="28"/>
          <w:szCs w:val="28"/>
        </w:rPr>
        <w:fldChar w:fldCharType="separate"/>
      </w:r>
      <w:r>
        <w:rPr>
          <w:rFonts w:ascii="Times New Roman" w:hAnsi="Times New Roman" w:cs="Times New Roman"/>
          <w:sz w:val="28"/>
          <w:szCs w:val="28"/>
        </w:rPr>
        <w:t>65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"_Toc68593572" </w:instrText>
      </w:r>
      <w:r>
        <w:fldChar w:fldCharType="separate"/>
      </w:r>
      <w:r>
        <w:rPr>
          <w:rStyle w:val="36"/>
          <w:rFonts w:ascii="Times New Roman" w:hAnsi="Times New Roman"/>
          <w:sz w:val="28"/>
          <w:szCs w:val="28"/>
        </w:rPr>
        <w:t>11.2  由于内部收益率过高引起的调整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_Toc68593572 \h </w:instrText>
      </w:r>
      <w:r>
        <w:rPr>
          <w:rFonts w:ascii="Times New Roman" w:hAnsi="Times New Roman" w:cs="Times New Roman"/>
          <w:sz w:val="28"/>
          <w:szCs w:val="28"/>
        </w:rPr>
        <w:fldChar w:fldCharType="separate"/>
      </w:r>
      <w:r>
        <w:rPr>
          <w:rFonts w:ascii="Times New Roman" w:hAnsi="Times New Roman" w:cs="Times New Roman"/>
          <w:sz w:val="28"/>
          <w:szCs w:val="28"/>
        </w:rPr>
        <w:t>65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"_Toc68593573" </w:instrText>
      </w:r>
      <w:r>
        <w:fldChar w:fldCharType="separate"/>
      </w:r>
      <w:r>
        <w:rPr>
          <w:rStyle w:val="36"/>
          <w:rFonts w:ascii="Times New Roman" w:hAnsi="Times New Roman"/>
          <w:sz w:val="28"/>
          <w:szCs w:val="28"/>
        </w:rPr>
        <w:t>11.3  价格符合性检查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_Toc68593573 \h </w:instrText>
      </w:r>
      <w:r>
        <w:rPr>
          <w:rFonts w:ascii="Times New Roman" w:hAnsi="Times New Roman" w:cs="Times New Roman"/>
          <w:sz w:val="28"/>
          <w:szCs w:val="28"/>
        </w:rPr>
        <w:fldChar w:fldCharType="separate"/>
      </w:r>
      <w:r>
        <w:rPr>
          <w:rFonts w:ascii="Times New Roman" w:hAnsi="Times New Roman" w:cs="Times New Roman"/>
          <w:sz w:val="28"/>
          <w:szCs w:val="28"/>
        </w:rPr>
        <w:t>66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"_Toc68593574" </w:instrText>
      </w:r>
      <w:r>
        <w:fldChar w:fldCharType="separate"/>
      </w:r>
      <w:r>
        <w:rPr>
          <w:rStyle w:val="36"/>
          <w:rFonts w:ascii="Times New Roman" w:hAnsi="Times New Roman"/>
          <w:sz w:val="28"/>
          <w:szCs w:val="28"/>
        </w:rPr>
        <w:t>第12条  保险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_Toc68593574 \h </w:instrText>
      </w:r>
      <w:r>
        <w:rPr>
          <w:rFonts w:ascii="Times New Roman" w:hAnsi="Times New Roman" w:cs="Times New Roman"/>
          <w:sz w:val="28"/>
          <w:szCs w:val="28"/>
        </w:rPr>
        <w:fldChar w:fldCharType="separate"/>
      </w:r>
      <w:r>
        <w:rPr>
          <w:rFonts w:ascii="Times New Roman" w:hAnsi="Times New Roman" w:cs="Times New Roman"/>
          <w:sz w:val="28"/>
          <w:szCs w:val="28"/>
        </w:rPr>
        <w:t>67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"_Toc68593575" </w:instrText>
      </w:r>
      <w:r>
        <w:fldChar w:fldCharType="separate"/>
      </w:r>
      <w:r>
        <w:rPr>
          <w:rStyle w:val="36"/>
          <w:rFonts w:ascii="Times New Roman" w:hAnsi="Times New Roman"/>
          <w:sz w:val="28"/>
          <w:szCs w:val="28"/>
        </w:rPr>
        <w:t>12.1  保险内容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_Toc68593575 \h </w:instrText>
      </w:r>
      <w:r>
        <w:rPr>
          <w:rFonts w:ascii="Times New Roman" w:hAnsi="Times New Roman" w:cs="Times New Roman"/>
          <w:sz w:val="28"/>
          <w:szCs w:val="28"/>
        </w:rPr>
        <w:fldChar w:fldCharType="separate"/>
      </w:r>
      <w:r>
        <w:rPr>
          <w:rFonts w:ascii="Times New Roman" w:hAnsi="Times New Roman" w:cs="Times New Roman"/>
          <w:sz w:val="28"/>
          <w:szCs w:val="28"/>
        </w:rPr>
        <w:t>67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"_Toc68593576" </w:instrText>
      </w:r>
      <w:r>
        <w:fldChar w:fldCharType="separate"/>
      </w:r>
      <w:r>
        <w:rPr>
          <w:rStyle w:val="36"/>
          <w:rFonts w:ascii="Times New Roman" w:hAnsi="Times New Roman"/>
          <w:sz w:val="28"/>
          <w:szCs w:val="28"/>
        </w:rPr>
        <w:t>12.2  总体要求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_Toc68593576 \h </w:instrText>
      </w:r>
      <w:r>
        <w:rPr>
          <w:rFonts w:ascii="Times New Roman" w:hAnsi="Times New Roman" w:cs="Times New Roman"/>
          <w:sz w:val="28"/>
          <w:szCs w:val="28"/>
        </w:rPr>
        <w:fldChar w:fldCharType="separate"/>
      </w:r>
      <w:r>
        <w:rPr>
          <w:rFonts w:ascii="Times New Roman" w:hAnsi="Times New Roman" w:cs="Times New Roman"/>
          <w:sz w:val="28"/>
          <w:szCs w:val="28"/>
        </w:rPr>
        <w:t>67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"_Toc68593577" </w:instrText>
      </w:r>
      <w:r>
        <w:fldChar w:fldCharType="separate"/>
      </w:r>
      <w:r>
        <w:rPr>
          <w:rStyle w:val="36"/>
          <w:rFonts w:ascii="Times New Roman" w:hAnsi="Times New Roman"/>
          <w:sz w:val="28"/>
          <w:szCs w:val="28"/>
        </w:rPr>
        <w:t>12.3  未维持保险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_Toc68593577 \h </w:instrText>
      </w:r>
      <w:r>
        <w:rPr>
          <w:rFonts w:ascii="Times New Roman" w:hAnsi="Times New Roman" w:cs="Times New Roman"/>
          <w:sz w:val="28"/>
          <w:szCs w:val="28"/>
        </w:rPr>
        <w:fldChar w:fldCharType="separate"/>
      </w:r>
      <w:r>
        <w:rPr>
          <w:rFonts w:ascii="Times New Roman" w:hAnsi="Times New Roman" w:cs="Times New Roman"/>
          <w:sz w:val="28"/>
          <w:szCs w:val="28"/>
        </w:rPr>
        <w:t>67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"_Toc68593578" </w:instrText>
      </w:r>
      <w:r>
        <w:fldChar w:fldCharType="separate"/>
      </w:r>
      <w:r>
        <w:rPr>
          <w:rStyle w:val="36"/>
          <w:rFonts w:ascii="Times New Roman" w:hAnsi="Times New Roman"/>
          <w:sz w:val="28"/>
          <w:szCs w:val="28"/>
        </w:rPr>
        <w:t>第13条  开票和付款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_Toc68593578 \h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"_Toc68593579" </w:instrText>
      </w:r>
      <w:r>
        <w:fldChar w:fldCharType="separate"/>
      </w:r>
      <w:r>
        <w:rPr>
          <w:rStyle w:val="36"/>
          <w:rFonts w:ascii="Times New Roman" w:hAnsi="Times New Roman"/>
          <w:sz w:val="28"/>
          <w:szCs w:val="28"/>
        </w:rPr>
        <w:t>13.1  付款和开票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_Toc68593579 \h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"_Toc68593580" </w:instrText>
      </w:r>
      <w:r>
        <w:fldChar w:fldCharType="separate"/>
      </w:r>
      <w:r>
        <w:rPr>
          <w:rStyle w:val="36"/>
          <w:rFonts w:ascii="Times New Roman" w:hAnsi="Times New Roman"/>
          <w:sz w:val="28"/>
          <w:szCs w:val="28"/>
        </w:rPr>
        <w:t>13.2  货币</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_Toc68593580 \h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"_Toc68593581" </w:instrText>
      </w:r>
      <w:r>
        <w:fldChar w:fldCharType="separate"/>
      </w:r>
      <w:r>
        <w:rPr>
          <w:rStyle w:val="36"/>
          <w:rFonts w:ascii="Times New Roman" w:hAnsi="Times New Roman"/>
          <w:sz w:val="28"/>
          <w:szCs w:val="28"/>
        </w:rPr>
        <w:t>第14条  特许经营期届满时项目设施的移交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_Toc68593581 \h </w:instrText>
      </w:r>
      <w:r>
        <w:rPr>
          <w:rFonts w:ascii="Times New Roman" w:hAnsi="Times New Roman" w:cs="Times New Roman"/>
          <w:sz w:val="28"/>
          <w:szCs w:val="28"/>
        </w:rPr>
        <w:fldChar w:fldCharType="separate"/>
      </w:r>
      <w:r>
        <w:rPr>
          <w:rFonts w:ascii="Times New Roman" w:hAnsi="Times New Roman" w:cs="Times New Roman"/>
          <w:sz w:val="28"/>
          <w:szCs w:val="28"/>
        </w:rPr>
        <w:t>70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"_Toc68593582" </w:instrText>
      </w:r>
      <w:r>
        <w:fldChar w:fldCharType="separate"/>
      </w:r>
      <w:r>
        <w:rPr>
          <w:rStyle w:val="36"/>
          <w:rFonts w:ascii="Times New Roman" w:hAnsi="Times New Roman"/>
          <w:sz w:val="28"/>
          <w:szCs w:val="28"/>
        </w:rPr>
        <w:t>14.1  项目移交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_Toc68593582 \h </w:instrText>
      </w:r>
      <w:r>
        <w:rPr>
          <w:rFonts w:ascii="Times New Roman" w:hAnsi="Times New Roman" w:cs="Times New Roman"/>
          <w:sz w:val="28"/>
          <w:szCs w:val="28"/>
        </w:rPr>
        <w:fldChar w:fldCharType="separate"/>
      </w:r>
      <w:r>
        <w:rPr>
          <w:rFonts w:ascii="Times New Roman" w:hAnsi="Times New Roman" w:cs="Times New Roman"/>
          <w:sz w:val="28"/>
          <w:szCs w:val="28"/>
        </w:rPr>
        <w:t>70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"_Toc68593583" </w:instrText>
      </w:r>
      <w:r>
        <w:fldChar w:fldCharType="separate"/>
      </w:r>
      <w:r>
        <w:rPr>
          <w:rStyle w:val="36"/>
          <w:rFonts w:ascii="Times New Roman" w:hAnsi="Times New Roman"/>
          <w:sz w:val="28"/>
          <w:szCs w:val="28"/>
        </w:rPr>
        <w:t>14.2  移交内容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_Toc68593583 \h </w:instrText>
      </w:r>
      <w:r>
        <w:rPr>
          <w:rFonts w:ascii="Times New Roman" w:hAnsi="Times New Roman" w:cs="Times New Roman"/>
          <w:sz w:val="28"/>
          <w:szCs w:val="28"/>
        </w:rPr>
        <w:fldChar w:fldCharType="separate"/>
      </w:r>
      <w:r>
        <w:rPr>
          <w:rFonts w:ascii="Times New Roman" w:hAnsi="Times New Roman" w:cs="Times New Roman"/>
          <w:sz w:val="28"/>
          <w:szCs w:val="28"/>
        </w:rPr>
        <w:t>70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"_Toc68593584" </w:instrText>
      </w:r>
      <w:r>
        <w:fldChar w:fldCharType="separate"/>
      </w:r>
      <w:r>
        <w:rPr>
          <w:rStyle w:val="36"/>
          <w:rFonts w:ascii="Times New Roman" w:hAnsi="Times New Roman"/>
          <w:sz w:val="28"/>
          <w:szCs w:val="28"/>
        </w:rPr>
        <w:t>14.3  移交过渡期及移交委员会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_Toc68593584 \h </w:instrText>
      </w:r>
      <w:r>
        <w:rPr>
          <w:rFonts w:ascii="Times New Roman" w:hAnsi="Times New Roman" w:cs="Times New Roman"/>
          <w:sz w:val="28"/>
          <w:szCs w:val="28"/>
        </w:rPr>
        <w:fldChar w:fldCharType="separate"/>
      </w:r>
      <w:r>
        <w:rPr>
          <w:rFonts w:ascii="Times New Roman" w:hAnsi="Times New Roman" w:cs="Times New Roman"/>
          <w:sz w:val="28"/>
          <w:szCs w:val="28"/>
        </w:rPr>
        <w:t>71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"_Toc68593585" </w:instrText>
      </w:r>
      <w:r>
        <w:fldChar w:fldCharType="separate"/>
      </w:r>
      <w:r>
        <w:rPr>
          <w:rStyle w:val="36"/>
          <w:rFonts w:ascii="Times New Roman" w:hAnsi="Times New Roman"/>
          <w:sz w:val="28"/>
          <w:szCs w:val="28"/>
        </w:rPr>
        <w:t>14.4  移交准备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_Toc68593585 \h </w:instrText>
      </w:r>
      <w:r>
        <w:rPr>
          <w:rFonts w:ascii="Times New Roman" w:hAnsi="Times New Roman" w:cs="Times New Roman"/>
          <w:sz w:val="28"/>
          <w:szCs w:val="28"/>
        </w:rPr>
        <w:fldChar w:fldCharType="separate"/>
      </w:r>
      <w:r>
        <w:rPr>
          <w:rFonts w:ascii="Times New Roman" w:hAnsi="Times New Roman" w:cs="Times New Roman"/>
          <w:sz w:val="28"/>
          <w:szCs w:val="28"/>
        </w:rPr>
        <w:t>72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"_Toc68593586" </w:instrText>
      </w:r>
      <w:r>
        <w:fldChar w:fldCharType="separate"/>
      </w:r>
      <w:r>
        <w:rPr>
          <w:rStyle w:val="36"/>
          <w:rFonts w:ascii="Times New Roman" w:hAnsi="Times New Roman"/>
          <w:sz w:val="28"/>
          <w:szCs w:val="28"/>
        </w:rPr>
        <w:t>14.5  鉴定和验收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_Toc68593586 \h </w:instrText>
      </w:r>
      <w:r>
        <w:rPr>
          <w:rFonts w:ascii="Times New Roman" w:hAnsi="Times New Roman" w:cs="Times New Roman"/>
          <w:sz w:val="28"/>
          <w:szCs w:val="28"/>
        </w:rPr>
        <w:fldChar w:fldCharType="separate"/>
      </w:r>
      <w:r>
        <w:rPr>
          <w:rFonts w:ascii="Times New Roman" w:hAnsi="Times New Roman" w:cs="Times New Roman"/>
          <w:sz w:val="28"/>
          <w:szCs w:val="28"/>
        </w:rPr>
        <w:t>72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"_Toc68593587" </w:instrText>
      </w:r>
      <w:r>
        <w:fldChar w:fldCharType="separate"/>
      </w:r>
      <w:r>
        <w:rPr>
          <w:rStyle w:val="36"/>
          <w:rFonts w:ascii="Times New Roman" w:hAnsi="Times New Roman"/>
          <w:sz w:val="28"/>
          <w:szCs w:val="28"/>
        </w:rPr>
        <w:t>14.6  缺陷责任期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_Toc68593587 \h </w:instrText>
      </w:r>
      <w:r>
        <w:rPr>
          <w:rFonts w:ascii="Times New Roman" w:hAnsi="Times New Roman" w:cs="Times New Roman"/>
          <w:sz w:val="28"/>
          <w:szCs w:val="28"/>
        </w:rPr>
        <w:fldChar w:fldCharType="separate"/>
      </w:r>
      <w:r>
        <w:rPr>
          <w:rFonts w:ascii="Times New Roman" w:hAnsi="Times New Roman" w:cs="Times New Roman"/>
          <w:sz w:val="28"/>
          <w:szCs w:val="28"/>
        </w:rPr>
        <w:t>73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"_Toc68593588" </w:instrText>
      </w:r>
      <w:r>
        <w:fldChar w:fldCharType="separate"/>
      </w:r>
      <w:r>
        <w:rPr>
          <w:rStyle w:val="36"/>
          <w:rFonts w:ascii="Times New Roman" w:hAnsi="Times New Roman"/>
          <w:sz w:val="28"/>
          <w:szCs w:val="28"/>
        </w:rPr>
        <w:t>14.7  保证、保险和技术的转让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_Toc68593588 \h </w:instrText>
      </w:r>
      <w:r>
        <w:rPr>
          <w:rFonts w:ascii="Times New Roman" w:hAnsi="Times New Roman" w:cs="Times New Roman"/>
          <w:sz w:val="28"/>
          <w:szCs w:val="28"/>
        </w:rPr>
        <w:fldChar w:fldCharType="separate"/>
      </w:r>
      <w:r>
        <w:rPr>
          <w:rFonts w:ascii="Times New Roman" w:hAnsi="Times New Roman" w:cs="Times New Roman"/>
          <w:sz w:val="28"/>
          <w:szCs w:val="28"/>
        </w:rPr>
        <w:t>73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"_Toc68593589" </w:instrText>
      </w:r>
      <w:r>
        <w:fldChar w:fldCharType="separate"/>
      </w:r>
      <w:r>
        <w:rPr>
          <w:rStyle w:val="36"/>
          <w:rFonts w:ascii="Times New Roman" w:hAnsi="Times New Roman"/>
          <w:sz w:val="28"/>
          <w:szCs w:val="28"/>
        </w:rPr>
        <w:t>14.8  合同的终止和转让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_Toc68593589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"_Toc68593590" </w:instrText>
      </w:r>
      <w:r>
        <w:fldChar w:fldCharType="separate"/>
      </w:r>
      <w:r>
        <w:rPr>
          <w:rStyle w:val="36"/>
          <w:rFonts w:ascii="Times New Roman" w:hAnsi="Times New Roman"/>
          <w:sz w:val="28"/>
          <w:szCs w:val="28"/>
        </w:rPr>
        <w:t>14.9  人员的分流及安置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_Toc68593590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"_Toc68593591" </w:instrText>
      </w:r>
      <w:r>
        <w:fldChar w:fldCharType="separate"/>
      </w:r>
      <w:r>
        <w:rPr>
          <w:rStyle w:val="36"/>
          <w:rFonts w:ascii="Times New Roman" w:hAnsi="Times New Roman"/>
          <w:sz w:val="28"/>
          <w:szCs w:val="28"/>
        </w:rPr>
        <w:t>14.10  移交费用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_Toc68593591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"_Toc68593592" </w:instrText>
      </w:r>
      <w:r>
        <w:fldChar w:fldCharType="separate"/>
      </w:r>
      <w:r>
        <w:rPr>
          <w:rStyle w:val="36"/>
          <w:rFonts w:ascii="Times New Roman" w:hAnsi="Times New Roman"/>
          <w:sz w:val="28"/>
          <w:szCs w:val="28"/>
        </w:rPr>
        <w:t>14.11  移交效力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_Toc68593592 \h </w:instrText>
      </w:r>
      <w:r>
        <w:rPr>
          <w:rFonts w:ascii="Times New Roman" w:hAnsi="Times New Roman" w:cs="Times New Roman"/>
          <w:sz w:val="28"/>
          <w:szCs w:val="28"/>
        </w:rPr>
        <w:fldChar w:fldCharType="separate"/>
      </w:r>
      <w:r>
        <w:rPr>
          <w:rFonts w:ascii="Times New Roman" w:hAnsi="Times New Roman" w:cs="Times New Roman"/>
          <w:sz w:val="28"/>
          <w:szCs w:val="28"/>
        </w:rPr>
        <w:t>75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"_Toc68593593" </w:instrText>
      </w:r>
      <w:r>
        <w:fldChar w:fldCharType="separate"/>
      </w:r>
      <w:r>
        <w:rPr>
          <w:rStyle w:val="36"/>
          <w:rFonts w:ascii="Times New Roman" w:hAnsi="Times New Roman"/>
          <w:sz w:val="28"/>
          <w:szCs w:val="28"/>
        </w:rPr>
        <w:t>14.12  移走乙方1的其他无关物品</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_Toc68593593 \h </w:instrText>
      </w:r>
      <w:r>
        <w:rPr>
          <w:rFonts w:ascii="Times New Roman" w:hAnsi="Times New Roman" w:cs="Times New Roman"/>
          <w:sz w:val="28"/>
          <w:szCs w:val="28"/>
        </w:rPr>
        <w:fldChar w:fldCharType="separate"/>
      </w:r>
      <w:r>
        <w:rPr>
          <w:rFonts w:ascii="Times New Roman" w:hAnsi="Times New Roman" w:cs="Times New Roman"/>
          <w:sz w:val="28"/>
          <w:szCs w:val="28"/>
        </w:rPr>
        <w:t>75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"_Toc68593594" </w:instrText>
      </w:r>
      <w:r>
        <w:fldChar w:fldCharType="separate"/>
      </w:r>
      <w:r>
        <w:rPr>
          <w:rStyle w:val="36"/>
          <w:rFonts w:ascii="Times New Roman" w:hAnsi="Times New Roman"/>
          <w:sz w:val="28"/>
          <w:szCs w:val="28"/>
        </w:rPr>
        <w:t>第15条  不可抗力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_Toc68593594 \h </w:instrText>
      </w:r>
      <w:r>
        <w:rPr>
          <w:rFonts w:ascii="Times New Roman" w:hAnsi="Times New Roman" w:cs="Times New Roman"/>
          <w:sz w:val="28"/>
          <w:szCs w:val="28"/>
        </w:rPr>
        <w:fldChar w:fldCharType="separate"/>
      </w:r>
      <w:r>
        <w:rPr>
          <w:rFonts w:ascii="Times New Roman" w:hAnsi="Times New Roman" w:cs="Times New Roman"/>
          <w:sz w:val="28"/>
          <w:szCs w:val="28"/>
        </w:rPr>
        <w:t>76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"_Toc68593595" </w:instrText>
      </w:r>
      <w:r>
        <w:fldChar w:fldCharType="separate"/>
      </w:r>
      <w:r>
        <w:rPr>
          <w:rStyle w:val="36"/>
          <w:rFonts w:ascii="Times New Roman" w:hAnsi="Times New Roman"/>
          <w:sz w:val="28"/>
          <w:szCs w:val="28"/>
        </w:rPr>
        <w:t>15.1  不可抗力事件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_Toc68593595 \h </w:instrText>
      </w:r>
      <w:r>
        <w:rPr>
          <w:rFonts w:ascii="Times New Roman" w:hAnsi="Times New Roman" w:cs="Times New Roman"/>
          <w:sz w:val="28"/>
          <w:szCs w:val="28"/>
        </w:rPr>
        <w:fldChar w:fldCharType="separate"/>
      </w:r>
      <w:r>
        <w:rPr>
          <w:rFonts w:ascii="Times New Roman" w:hAnsi="Times New Roman" w:cs="Times New Roman"/>
          <w:sz w:val="28"/>
          <w:szCs w:val="28"/>
        </w:rPr>
        <w:t>76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"_Toc68593596" </w:instrText>
      </w:r>
      <w:r>
        <w:fldChar w:fldCharType="separate"/>
      </w:r>
      <w:r>
        <w:rPr>
          <w:rStyle w:val="36"/>
          <w:rFonts w:ascii="Times New Roman" w:hAnsi="Times New Roman"/>
          <w:sz w:val="28"/>
          <w:szCs w:val="28"/>
        </w:rPr>
        <w:t>15.2  免于履行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_Toc68593596 \h </w:instrText>
      </w:r>
      <w:r>
        <w:rPr>
          <w:rFonts w:ascii="Times New Roman" w:hAnsi="Times New Roman" w:cs="Times New Roman"/>
          <w:sz w:val="28"/>
          <w:szCs w:val="28"/>
        </w:rPr>
        <w:fldChar w:fldCharType="separate"/>
      </w:r>
      <w:r>
        <w:rPr>
          <w:rFonts w:ascii="Times New Roman" w:hAnsi="Times New Roman" w:cs="Times New Roman"/>
          <w:sz w:val="28"/>
          <w:szCs w:val="28"/>
        </w:rPr>
        <w:t>76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"_Toc68593597" </w:instrText>
      </w:r>
      <w:r>
        <w:fldChar w:fldCharType="separate"/>
      </w:r>
      <w:r>
        <w:rPr>
          <w:rStyle w:val="36"/>
          <w:rFonts w:ascii="Times New Roman" w:hAnsi="Times New Roman"/>
          <w:sz w:val="28"/>
          <w:szCs w:val="28"/>
        </w:rPr>
        <w:t>15.3  不可抗力发生后的处理程序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_Toc68593597 \h </w:instrText>
      </w:r>
      <w:r>
        <w:rPr>
          <w:rFonts w:ascii="Times New Roman" w:hAnsi="Times New Roman" w:cs="Times New Roman"/>
          <w:sz w:val="28"/>
          <w:szCs w:val="28"/>
        </w:rPr>
        <w:fldChar w:fldCharType="separate"/>
      </w:r>
      <w:r>
        <w:rPr>
          <w:rFonts w:ascii="Times New Roman" w:hAnsi="Times New Roman" w:cs="Times New Roman"/>
          <w:sz w:val="28"/>
          <w:szCs w:val="28"/>
        </w:rPr>
        <w:t>77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"_Toc68593598" </w:instrText>
      </w:r>
      <w:r>
        <w:fldChar w:fldCharType="separate"/>
      </w:r>
      <w:r>
        <w:rPr>
          <w:rStyle w:val="36"/>
          <w:rFonts w:ascii="Times New Roman" w:hAnsi="Times New Roman"/>
          <w:sz w:val="28"/>
          <w:szCs w:val="28"/>
        </w:rPr>
        <w:t>15.4  费用及时间表的修改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_Toc68593598 \h </w:instrText>
      </w:r>
      <w:r>
        <w:rPr>
          <w:rFonts w:ascii="Times New Roman" w:hAnsi="Times New Roman" w:cs="Times New Roman"/>
          <w:sz w:val="28"/>
          <w:szCs w:val="28"/>
        </w:rPr>
        <w:fldChar w:fldCharType="separate"/>
      </w:r>
      <w:r>
        <w:rPr>
          <w:rFonts w:ascii="Times New Roman" w:hAnsi="Times New Roman" w:cs="Times New Roman"/>
          <w:sz w:val="28"/>
          <w:szCs w:val="28"/>
        </w:rPr>
        <w:t>77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"_Toc68593599" </w:instrText>
      </w:r>
      <w:r>
        <w:fldChar w:fldCharType="separate"/>
      </w:r>
      <w:r>
        <w:rPr>
          <w:rStyle w:val="36"/>
          <w:rFonts w:ascii="Times New Roman" w:hAnsi="Times New Roman"/>
          <w:sz w:val="28"/>
          <w:szCs w:val="28"/>
        </w:rPr>
        <w:t>15.5  减少损失的责任和协商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_Toc68593599 \h </w:instrText>
      </w:r>
      <w:r>
        <w:rPr>
          <w:rFonts w:ascii="Times New Roman" w:hAnsi="Times New Roman" w:cs="Times New Roman"/>
          <w:sz w:val="28"/>
          <w:szCs w:val="28"/>
        </w:rPr>
        <w:fldChar w:fldCharType="separate"/>
      </w:r>
      <w:r>
        <w:rPr>
          <w:rFonts w:ascii="Times New Roman" w:hAnsi="Times New Roman" w:cs="Times New Roman"/>
          <w:sz w:val="28"/>
          <w:szCs w:val="28"/>
        </w:rPr>
        <w:t>77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"_Toc68593600" </w:instrText>
      </w:r>
      <w:r>
        <w:fldChar w:fldCharType="separate"/>
      </w:r>
      <w:r>
        <w:rPr>
          <w:rStyle w:val="36"/>
          <w:rFonts w:ascii="Times New Roman" w:hAnsi="Times New Roman"/>
          <w:sz w:val="28"/>
          <w:szCs w:val="28"/>
        </w:rPr>
        <w:t>15.6  不可抗力造成的终止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_Toc68593600 \h </w:instrText>
      </w:r>
      <w:r>
        <w:rPr>
          <w:rFonts w:ascii="Times New Roman" w:hAnsi="Times New Roman" w:cs="Times New Roman"/>
          <w:sz w:val="28"/>
          <w:szCs w:val="28"/>
        </w:rPr>
        <w:fldChar w:fldCharType="separate"/>
      </w:r>
      <w:r>
        <w:rPr>
          <w:rFonts w:ascii="Times New Roman" w:hAnsi="Times New Roman" w:cs="Times New Roman"/>
          <w:sz w:val="28"/>
          <w:szCs w:val="28"/>
        </w:rPr>
        <w:t>78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"_Toc68593601" </w:instrText>
      </w:r>
      <w:r>
        <w:fldChar w:fldCharType="separate"/>
      </w:r>
      <w:r>
        <w:rPr>
          <w:rStyle w:val="36"/>
          <w:rFonts w:ascii="Times New Roman" w:hAnsi="Times New Roman"/>
          <w:sz w:val="28"/>
          <w:szCs w:val="28"/>
        </w:rPr>
        <w:t>第16条  提前终止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_Toc68593601 \h </w:instrText>
      </w:r>
      <w:r>
        <w:rPr>
          <w:rFonts w:ascii="Times New Roman" w:hAnsi="Times New Roman" w:cs="Times New Roman"/>
          <w:sz w:val="28"/>
          <w:szCs w:val="28"/>
        </w:rPr>
        <w:fldChar w:fldCharType="separate"/>
      </w:r>
      <w:r>
        <w:rPr>
          <w:rFonts w:ascii="Times New Roman" w:hAnsi="Times New Roman" w:cs="Times New Roman"/>
          <w:sz w:val="28"/>
          <w:szCs w:val="28"/>
        </w:rPr>
        <w:t>79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"_Toc68593602" </w:instrText>
      </w:r>
      <w:r>
        <w:fldChar w:fldCharType="separate"/>
      </w:r>
      <w:r>
        <w:rPr>
          <w:rStyle w:val="36"/>
          <w:rFonts w:ascii="Times New Roman" w:hAnsi="Times New Roman"/>
          <w:sz w:val="28"/>
          <w:szCs w:val="28"/>
        </w:rPr>
        <w:t>16.1  由甲方提出的提前终止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_Toc68593602 \h </w:instrText>
      </w:r>
      <w:r>
        <w:rPr>
          <w:rFonts w:ascii="Times New Roman" w:hAnsi="Times New Roman" w:cs="Times New Roman"/>
          <w:sz w:val="28"/>
          <w:szCs w:val="28"/>
        </w:rPr>
        <w:fldChar w:fldCharType="separate"/>
      </w:r>
      <w:r>
        <w:rPr>
          <w:rFonts w:ascii="Times New Roman" w:hAnsi="Times New Roman" w:cs="Times New Roman"/>
          <w:sz w:val="28"/>
          <w:szCs w:val="28"/>
        </w:rPr>
        <w:t>79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"_Toc68593603" </w:instrText>
      </w:r>
      <w:r>
        <w:fldChar w:fldCharType="separate"/>
      </w:r>
      <w:r>
        <w:rPr>
          <w:rStyle w:val="36"/>
          <w:rFonts w:ascii="Times New Roman" w:hAnsi="Times New Roman"/>
          <w:sz w:val="28"/>
          <w:szCs w:val="28"/>
        </w:rPr>
        <w:t>16.2  由乙方1提出的提前终止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_Toc68593603 \h </w:instrText>
      </w:r>
      <w:r>
        <w:rPr>
          <w:rFonts w:ascii="Times New Roman" w:hAnsi="Times New Roman" w:cs="Times New Roman"/>
          <w:sz w:val="28"/>
          <w:szCs w:val="28"/>
        </w:rPr>
        <w:fldChar w:fldCharType="separate"/>
      </w:r>
      <w:r>
        <w:rPr>
          <w:rFonts w:ascii="Times New Roman" w:hAnsi="Times New Roman" w:cs="Times New Roman"/>
          <w:sz w:val="28"/>
          <w:szCs w:val="28"/>
        </w:rPr>
        <w:t>80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"_Toc68593604" </w:instrText>
      </w:r>
      <w:r>
        <w:fldChar w:fldCharType="separate"/>
      </w:r>
      <w:r>
        <w:rPr>
          <w:rStyle w:val="36"/>
          <w:rFonts w:ascii="Times New Roman" w:hAnsi="Times New Roman"/>
          <w:sz w:val="28"/>
          <w:szCs w:val="28"/>
        </w:rPr>
        <w:t>16.3  不可抗力导致的提前终止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_Toc68593604 \h </w:instrText>
      </w:r>
      <w:r>
        <w:rPr>
          <w:rFonts w:ascii="Times New Roman" w:hAnsi="Times New Roman" w:cs="Times New Roman"/>
          <w:sz w:val="28"/>
          <w:szCs w:val="28"/>
        </w:rPr>
        <w:fldChar w:fldCharType="separate"/>
      </w:r>
      <w:r>
        <w:rPr>
          <w:rFonts w:ascii="Times New Roman" w:hAnsi="Times New Roman" w:cs="Times New Roman"/>
          <w:sz w:val="28"/>
          <w:szCs w:val="28"/>
        </w:rPr>
        <w:t>81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"_Toc68593605" </w:instrText>
      </w:r>
      <w:r>
        <w:fldChar w:fldCharType="separate"/>
      </w:r>
      <w:r>
        <w:rPr>
          <w:rStyle w:val="36"/>
          <w:rFonts w:ascii="Times New Roman" w:hAnsi="Times New Roman"/>
          <w:sz w:val="28"/>
          <w:szCs w:val="28"/>
        </w:rPr>
        <w:t>16.4  提前终止意向通知和提前终止通知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_Toc68593605 \h </w:instrText>
      </w:r>
      <w:r>
        <w:rPr>
          <w:rFonts w:ascii="Times New Roman" w:hAnsi="Times New Roman" w:cs="Times New Roman"/>
          <w:sz w:val="28"/>
          <w:szCs w:val="28"/>
        </w:rPr>
        <w:fldChar w:fldCharType="separate"/>
      </w:r>
      <w:r>
        <w:rPr>
          <w:rFonts w:ascii="Times New Roman" w:hAnsi="Times New Roman" w:cs="Times New Roman"/>
          <w:sz w:val="28"/>
          <w:szCs w:val="28"/>
        </w:rPr>
        <w:t>81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"_Toc68593606" </w:instrText>
      </w:r>
      <w:r>
        <w:fldChar w:fldCharType="separate"/>
      </w:r>
      <w:r>
        <w:rPr>
          <w:rStyle w:val="36"/>
          <w:rFonts w:ascii="Times New Roman" w:hAnsi="Times New Roman"/>
          <w:sz w:val="28"/>
          <w:szCs w:val="28"/>
        </w:rPr>
        <w:t>16.5  提前终止的一般后果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_Toc68593606 \h </w:instrText>
      </w:r>
      <w:r>
        <w:rPr>
          <w:rFonts w:ascii="Times New Roman" w:hAnsi="Times New Roman" w:cs="Times New Roman"/>
          <w:sz w:val="28"/>
          <w:szCs w:val="28"/>
        </w:rPr>
        <w:fldChar w:fldCharType="separate"/>
      </w:r>
      <w:r>
        <w:rPr>
          <w:rFonts w:ascii="Times New Roman" w:hAnsi="Times New Roman" w:cs="Times New Roman"/>
          <w:sz w:val="28"/>
          <w:szCs w:val="28"/>
        </w:rPr>
        <w:t>82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"_Toc68593607" </w:instrText>
      </w:r>
      <w:r>
        <w:fldChar w:fldCharType="separate"/>
      </w:r>
      <w:r>
        <w:rPr>
          <w:rStyle w:val="36"/>
          <w:rFonts w:ascii="Times New Roman" w:hAnsi="Times New Roman"/>
          <w:sz w:val="28"/>
          <w:szCs w:val="28"/>
        </w:rPr>
        <w:t>16.6  提前终止后的提前移交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_Toc68593607 \h </w:instrText>
      </w:r>
      <w:r>
        <w:rPr>
          <w:rFonts w:ascii="Times New Roman" w:hAnsi="Times New Roman" w:cs="Times New Roman"/>
          <w:sz w:val="28"/>
          <w:szCs w:val="28"/>
        </w:rPr>
        <w:fldChar w:fldCharType="separate"/>
      </w:r>
      <w:r>
        <w:rPr>
          <w:rFonts w:ascii="Times New Roman" w:hAnsi="Times New Roman" w:cs="Times New Roman"/>
          <w:sz w:val="28"/>
          <w:szCs w:val="28"/>
        </w:rPr>
        <w:t>83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"_Toc68593608" </w:instrText>
      </w:r>
      <w:r>
        <w:fldChar w:fldCharType="separate"/>
      </w:r>
      <w:r>
        <w:rPr>
          <w:rStyle w:val="36"/>
          <w:rFonts w:ascii="Times New Roman" w:hAnsi="Times New Roman"/>
          <w:sz w:val="28"/>
          <w:szCs w:val="28"/>
        </w:rPr>
        <w:t>16.7  提前终止后的补偿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_Toc68593608 \h </w:instrText>
      </w:r>
      <w:r>
        <w:rPr>
          <w:rFonts w:ascii="Times New Roman" w:hAnsi="Times New Roman" w:cs="Times New Roman"/>
          <w:sz w:val="28"/>
          <w:szCs w:val="28"/>
        </w:rPr>
        <w:fldChar w:fldCharType="separate"/>
      </w:r>
      <w:r>
        <w:rPr>
          <w:rFonts w:ascii="Times New Roman" w:hAnsi="Times New Roman" w:cs="Times New Roman"/>
          <w:sz w:val="28"/>
          <w:szCs w:val="28"/>
        </w:rPr>
        <w:t>83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"_Toc68593609" </w:instrText>
      </w:r>
      <w:r>
        <w:fldChar w:fldCharType="separate"/>
      </w:r>
      <w:r>
        <w:rPr>
          <w:rStyle w:val="36"/>
          <w:rFonts w:ascii="Times New Roman" w:hAnsi="Times New Roman"/>
          <w:sz w:val="28"/>
          <w:szCs w:val="28"/>
        </w:rPr>
        <w:t>16.8  提前终止时履约保证金的处理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_Toc68593609 \h </w:instrText>
      </w:r>
      <w:r>
        <w:rPr>
          <w:rFonts w:ascii="Times New Roman" w:hAnsi="Times New Roman" w:cs="Times New Roman"/>
          <w:sz w:val="28"/>
          <w:szCs w:val="28"/>
        </w:rPr>
        <w:fldChar w:fldCharType="separate"/>
      </w:r>
      <w:r>
        <w:rPr>
          <w:rFonts w:ascii="Times New Roman" w:hAnsi="Times New Roman" w:cs="Times New Roman"/>
          <w:sz w:val="28"/>
          <w:szCs w:val="28"/>
        </w:rPr>
        <w:t>85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"_Toc68593610" </w:instrText>
      </w:r>
      <w:r>
        <w:fldChar w:fldCharType="separate"/>
      </w:r>
      <w:r>
        <w:rPr>
          <w:rStyle w:val="36"/>
          <w:rFonts w:ascii="Times New Roman" w:hAnsi="Times New Roman"/>
          <w:sz w:val="28"/>
          <w:szCs w:val="28"/>
        </w:rPr>
        <w:t>16.9  责任限制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_Toc68593610 \h </w:instrText>
      </w:r>
      <w:r>
        <w:rPr>
          <w:rFonts w:ascii="Times New Roman" w:hAnsi="Times New Roman" w:cs="Times New Roman"/>
          <w:sz w:val="28"/>
          <w:szCs w:val="28"/>
        </w:rPr>
        <w:fldChar w:fldCharType="separate"/>
      </w:r>
      <w:r>
        <w:rPr>
          <w:rFonts w:ascii="Times New Roman" w:hAnsi="Times New Roman" w:cs="Times New Roman"/>
          <w:sz w:val="28"/>
          <w:szCs w:val="28"/>
        </w:rPr>
        <w:t>85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"_Toc68593611" </w:instrText>
      </w:r>
      <w:r>
        <w:fldChar w:fldCharType="separate"/>
      </w:r>
      <w:r>
        <w:rPr>
          <w:rStyle w:val="36"/>
          <w:rFonts w:ascii="Times New Roman" w:hAnsi="Times New Roman"/>
          <w:sz w:val="28"/>
          <w:szCs w:val="28"/>
        </w:rPr>
        <w:t>第17条  转让和担保</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_Toc68593611 \h </w:instrText>
      </w:r>
      <w:r>
        <w:rPr>
          <w:rFonts w:ascii="Times New Roman" w:hAnsi="Times New Roman" w:cs="Times New Roman"/>
          <w:sz w:val="28"/>
          <w:szCs w:val="28"/>
        </w:rPr>
        <w:fldChar w:fldCharType="separate"/>
      </w:r>
      <w:r>
        <w:rPr>
          <w:rFonts w:ascii="Times New Roman" w:hAnsi="Times New Roman" w:cs="Times New Roman"/>
          <w:sz w:val="28"/>
          <w:szCs w:val="28"/>
        </w:rPr>
        <w:t>86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"_Toc68593612" </w:instrText>
      </w:r>
      <w:r>
        <w:fldChar w:fldCharType="separate"/>
      </w:r>
      <w:r>
        <w:rPr>
          <w:rStyle w:val="36"/>
          <w:rFonts w:ascii="Times New Roman" w:hAnsi="Times New Roman"/>
          <w:sz w:val="28"/>
          <w:szCs w:val="28"/>
        </w:rPr>
        <w:t>17.1  甲方的转让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_Toc68593612 \h </w:instrText>
      </w:r>
      <w:r>
        <w:rPr>
          <w:rFonts w:ascii="Times New Roman" w:hAnsi="Times New Roman" w:cs="Times New Roman"/>
          <w:sz w:val="28"/>
          <w:szCs w:val="28"/>
        </w:rPr>
        <w:fldChar w:fldCharType="separate"/>
      </w:r>
      <w:r>
        <w:rPr>
          <w:rFonts w:ascii="Times New Roman" w:hAnsi="Times New Roman" w:cs="Times New Roman"/>
          <w:sz w:val="28"/>
          <w:szCs w:val="28"/>
        </w:rPr>
        <w:t>86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"_Toc68593613" </w:instrText>
      </w:r>
      <w:r>
        <w:fldChar w:fldCharType="separate"/>
      </w:r>
      <w:r>
        <w:rPr>
          <w:rStyle w:val="36"/>
          <w:rFonts w:ascii="Times New Roman" w:hAnsi="Times New Roman"/>
          <w:sz w:val="28"/>
          <w:szCs w:val="28"/>
        </w:rPr>
        <w:t>17.2  乙方1的转让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_Toc68593613 \h </w:instrText>
      </w:r>
      <w:r>
        <w:rPr>
          <w:rFonts w:ascii="Times New Roman" w:hAnsi="Times New Roman" w:cs="Times New Roman"/>
          <w:sz w:val="28"/>
          <w:szCs w:val="28"/>
        </w:rPr>
        <w:fldChar w:fldCharType="separate"/>
      </w:r>
      <w:r>
        <w:rPr>
          <w:rFonts w:ascii="Times New Roman" w:hAnsi="Times New Roman" w:cs="Times New Roman"/>
          <w:sz w:val="28"/>
          <w:szCs w:val="28"/>
        </w:rPr>
        <w:t>86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"_Toc68593614" </w:instrText>
      </w:r>
      <w:r>
        <w:fldChar w:fldCharType="separate"/>
      </w:r>
      <w:r>
        <w:rPr>
          <w:rStyle w:val="36"/>
          <w:rFonts w:ascii="Times New Roman" w:hAnsi="Times New Roman"/>
          <w:sz w:val="28"/>
          <w:szCs w:val="28"/>
        </w:rPr>
        <w:t>第18条  补偿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_Toc68593614 \h </w:instrText>
      </w:r>
      <w:r>
        <w:rPr>
          <w:rFonts w:ascii="Times New Roman" w:hAnsi="Times New Roman" w:cs="Times New Roman"/>
          <w:sz w:val="28"/>
          <w:szCs w:val="28"/>
        </w:rPr>
        <w:fldChar w:fldCharType="separate"/>
      </w:r>
      <w:r>
        <w:rPr>
          <w:rFonts w:ascii="Times New Roman" w:hAnsi="Times New Roman" w:cs="Times New Roman"/>
          <w:sz w:val="28"/>
          <w:szCs w:val="28"/>
        </w:rPr>
        <w:t>88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"_Toc68593615" </w:instrText>
      </w:r>
      <w:r>
        <w:fldChar w:fldCharType="separate"/>
      </w:r>
      <w:r>
        <w:rPr>
          <w:rStyle w:val="36"/>
          <w:rFonts w:ascii="Times New Roman" w:hAnsi="Times New Roman"/>
          <w:sz w:val="28"/>
          <w:szCs w:val="28"/>
        </w:rPr>
        <w:t>18.1  一般补偿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_Toc68593615 \h </w:instrText>
      </w:r>
      <w:r>
        <w:rPr>
          <w:rFonts w:ascii="Times New Roman" w:hAnsi="Times New Roman" w:cs="Times New Roman"/>
          <w:sz w:val="28"/>
          <w:szCs w:val="28"/>
        </w:rPr>
        <w:fldChar w:fldCharType="separate"/>
      </w:r>
      <w:r>
        <w:rPr>
          <w:rFonts w:ascii="Times New Roman" w:hAnsi="Times New Roman" w:cs="Times New Roman"/>
          <w:sz w:val="28"/>
          <w:szCs w:val="28"/>
        </w:rPr>
        <w:t>88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"_Toc68593616" </w:instrText>
      </w:r>
      <w:r>
        <w:fldChar w:fldCharType="separate"/>
      </w:r>
      <w:r>
        <w:rPr>
          <w:rStyle w:val="36"/>
          <w:rFonts w:ascii="Times New Roman" w:hAnsi="Times New Roman"/>
          <w:sz w:val="28"/>
          <w:szCs w:val="28"/>
        </w:rPr>
        <w:t>18.2  违约赔偿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_Toc68593616 \h </w:instrText>
      </w:r>
      <w:r>
        <w:rPr>
          <w:rFonts w:ascii="Times New Roman" w:hAnsi="Times New Roman" w:cs="Times New Roman"/>
          <w:sz w:val="28"/>
          <w:szCs w:val="28"/>
        </w:rPr>
        <w:fldChar w:fldCharType="separate"/>
      </w:r>
      <w:r>
        <w:rPr>
          <w:rFonts w:ascii="Times New Roman" w:hAnsi="Times New Roman" w:cs="Times New Roman"/>
          <w:sz w:val="28"/>
          <w:szCs w:val="28"/>
        </w:rPr>
        <w:t>89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"_Toc68593617" </w:instrText>
      </w:r>
      <w:r>
        <w:fldChar w:fldCharType="separate"/>
      </w:r>
      <w:r>
        <w:rPr>
          <w:rStyle w:val="36"/>
          <w:rFonts w:ascii="Times New Roman" w:hAnsi="Times New Roman"/>
          <w:sz w:val="28"/>
          <w:szCs w:val="28"/>
        </w:rPr>
        <w:t>第19条  廉政条款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_Toc68593617 \h </w:instrText>
      </w:r>
      <w:r>
        <w:rPr>
          <w:rFonts w:ascii="Times New Roman" w:hAnsi="Times New Roman" w:cs="Times New Roman"/>
          <w:sz w:val="28"/>
          <w:szCs w:val="28"/>
        </w:rPr>
        <w:fldChar w:fldCharType="separate"/>
      </w:r>
      <w:r>
        <w:rPr>
          <w:rFonts w:ascii="Times New Roman" w:hAnsi="Times New Roman" w:cs="Times New Roman"/>
          <w:sz w:val="28"/>
          <w:szCs w:val="28"/>
        </w:rPr>
        <w:t>91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"_Toc68593618" </w:instrText>
      </w:r>
      <w:r>
        <w:fldChar w:fldCharType="separate"/>
      </w:r>
      <w:r>
        <w:rPr>
          <w:rStyle w:val="36"/>
          <w:rFonts w:ascii="Times New Roman" w:hAnsi="Times New Roman"/>
          <w:sz w:val="28"/>
          <w:szCs w:val="28"/>
        </w:rPr>
        <w:t>19.1  甲方责任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_Toc68593618 \h </w:instrText>
      </w:r>
      <w:r>
        <w:rPr>
          <w:rFonts w:ascii="Times New Roman" w:hAnsi="Times New Roman" w:cs="Times New Roman"/>
          <w:sz w:val="28"/>
          <w:szCs w:val="28"/>
        </w:rPr>
        <w:fldChar w:fldCharType="separate"/>
      </w:r>
      <w:r>
        <w:rPr>
          <w:rFonts w:ascii="Times New Roman" w:hAnsi="Times New Roman" w:cs="Times New Roman"/>
          <w:sz w:val="28"/>
          <w:szCs w:val="28"/>
        </w:rPr>
        <w:t>91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"_Toc68593619" </w:instrText>
      </w:r>
      <w:r>
        <w:fldChar w:fldCharType="separate"/>
      </w:r>
      <w:r>
        <w:rPr>
          <w:rStyle w:val="36"/>
          <w:rFonts w:ascii="Times New Roman" w:hAnsi="Times New Roman"/>
          <w:sz w:val="28"/>
          <w:szCs w:val="28"/>
        </w:rPr>
        <w:t>19.2  乙方责任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_Toc68593619 \h </w:instrText>
      </w:r>
      <w:r>
        <w:rPr>
          <w:rFonts w:ascii="Times New Roman" w:hAnsi="Times New Roman" w:cs="Times New Roman"/>
          <w:sz w:val="28"/>
          <w:szCs w:val="28"/>
        </w:rPr>
        <w:fldChar w:fldCharType="separate"/>
      </w:r>
      <w:r>
        <w:rPr>
          <w:rFonts w:ascii="Times New Roman" w:hAnsi="Times New Roman" w:cs="Times New Roman"/>
          <w:sz w:val="28"/>
          <w:szCs w:val="28"/>
        </w:rPr>
        <w:t>92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"_Toc68593620" </w:instrText>
      </w:r>
      <w:r>
        <w:fldChar w:fldCharType="separate"/>
      </w:r>
      <w:r>
        <w:rPr>
          <w:rStyle w:val="36"/>
          <w:rFonts w:ascii="Times New Roman" w:hAnsi="Times New Roman"/>
          <w:sz w:val="28"/>
          <w:szCs w:val="28"/>
        </w:rPr>
        <w:t>第20条  合同的解释规则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_Toc68593620 \h </w:instrText>
      </w:r>
      <w:r>
        <w:rPr>
          <w:rFonts w:ascii="Times New Roman" w:hAnsi="Times New Roman" w:cs="Times New Roman"/>
          <w:sz w:val="28"/>
          <w:szCs w:val="28"/>
        </w:rPr>
        <w:fldChar w:fldCharType="separate"/>
      </w:r>
      <w:r>
        <w:rPr>
          <w:rFonts w:ascii="Times New Roman" w:hAnsi="Times New Roman" w:cs="Times New Roman"/>
          <w:sz w:val="28"/>
          <w:szCs w:val="28"/>
        </w:rPr>
        <w:t>92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"_Toc68593621" </w:instrText>
      </w:r>
      <w:r>
        <w:fldChar w:fldCharType="separate"/>
      </w:r>
      <w:r>
        <w:rPr>
          <w:rStyle w:val="36"/>
          <w:rFonts w:ascii="Times New Roman" w:hAnsi="Times New Roman"/>
          <w:sz w:val="28"/>
          <w:szCs w:val="28"/>
        </w:rPr>
        <w:t>20.1  合同文件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_Toc68593621 \h </w:instrText>
      </w:r>
      <w:r>
        <w:rPr>
          <w:rFonts w:ascii="Times New Roman" w:hAnsi="Times New Roman" w:cs="Times New Roman"/>
          <w:sz w:val="28"/>
          <w:szCs w:val="28"/>
        </w:rPr>
        <w:fldChar w:fldCharType="separate"/>
      </w:r>
      <w:r>
        <w:rPr>
          <w:rFonts w:ascii="Times New Roman" w:hAnsi="Times New Roman" w:cs="Times New Roman"/>
          <w:sz w:val="28"/>
          <w:szCs w:val="28"/>
        </w:rPr>
        <w:t>92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"_Toc68593622" </w:instrText>
      </w:r>
      <w:r>
        <w:fldChar w:fldCharType="separate"/>
      </w:r>
      <w:r>
        <w:rPr>
          <w:rStyle w:val="36"/>
          <w:rFonts w:ascii="Times New Roman" w:hAnsi="Times New Roman"/>
          <w:sz w:val="28"/>
          <w:szCs w:val="28"/>
        </w:rPr>
        <w:t>20.2  修改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_Toc68593622 \h </w:instrText>
      </w:r>
      <w:r>
        <w:rPr>
          <w:rFonts w:ascii="Times New Roman" w:hAnsi="Times New Roman" w:cs="Times New Roman"/>
          <w:sz w:val="28"/>
          <w:szCs w:val="28"/>
        </w:rPr>
        <w:fldChar w:fldCharType="separate"/>
      </w:r>
      <w:r>
        <w:rPr>
          <w:rFonts w:ascii="Times New Roman" w:hAnsi="Times New Roman" w:cs="Times New Roman"/>
          <w:sz w:val="28"/>
          <w:szCs w:val="28"/>
        </w:rPr>
        <w:t>92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"_Toc68593623" </w:instrText>
      </w:r>
      <w:r>
        <w:fldChar w:fldCharType="separate"/>
      </w:r>
      <w:r>
        <w:rPr>
          <w:rStyle w:val="36"/>
          <w:rFonts w:ascii="Times New Roman" w:hAnsi="Times New Roman"/>
          <w:sz w:val="28"/>
          <w:szCs w:val="28"/>
        </w:rPr>
        <w:t>20.3  可分割性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_Toc68593623 \h </w:instrText>
      </w:r>
      <w:r>
        <w:rPr>
          <w:rFonts w:ascii="Times New Roman" w:hAnsi="Times New Roman" w:cs="Times New Roman"/>
          <w:sz w:val="28"/>
          <w:szCs w:val="28"/>
        </w:rPr>
        <w:fldChar w:fldCharType="separate"/>
      </w:r>
      <w:r>
        <w:rPr>
          <w:rFonts w:ascii="Times New Roman" w:hAnsi="Times New Roman" w:cs="Times New Roman"/>
          <w:sz w:val="28"/>
          <w:szCs w:val="28"/>
        </w:rPr>
        <w:t>93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"_Toc68593624" </w:instrText>
      </w:r>
      <w:r>
        <w:fldChar w:fldCharType="separate"/>
      </w:r>
      <w:r>
        <w:rPr>
          <w:rStyle w:val="36"/>
          <w:rFonts w:ascii="Times New Roman" w:hAnsi="Times New Roman"/>
          <w:sz w:val="28"/>
          <w:szCs w:val="28"/>
        </w:rPr>
        <w:t>20.4  合同构成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_Toc68593624 \h </w:instrText>
      </w:r>
      <w:r>
        <w:rPr>
          <w:rFonts w:ascii="Times New Roman" w:hAnsi="Times New Roman" w:cs="Times New Roman"/>
          <w:sz w:val="28"/>
          <w:szCs w:val="28"/>
        </w:rPr>
        <w:fldChar w:fldCharType="separate"/>
      </w:r>
      <w:r>
        <w:rPr>
          <w:rFonts w:ascii="Times New Roman" w:hAnsi="Times New Roman" w:cs="Times New Roman"/>
          <w:sz w:val="28"/>
          <w:szCs w:val="28"/>
        </w:rPr>
        <w:t>93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"_Toc68593625" </w:instrText>
      </w:r>
      <w:r>
        <w:fldChar w:fldCharType="separate"/>
      </w:r>
      <w:r>
        <w:rPr>
          <w:rStyle w:val="36"/>
          <w:rFonts w:ascii="Times New Roman" w:hAnsi="Times New Roman"/>
          <w:sz w:val="28"/>
          <w:szCs w:val="28"/>
        </w:rPr>
        <w:t>第21条  保密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_Toc68593625 \h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"_Toc68593626" </w:instrText>
      </w:r>
      <w:r>
        <w:fldChar w:fldCharType="separate"/>
      </w:r>
      <w:r>
        <w:rPr>
          <w:rStyle w:val="36"/>
          <w:rFonts w:ascii="Times New Roman" w:hAnsi="Times New Roman"/>
          <w:sz w:val="28"/>
          <w:szCs w:val="28"/>
        </w:rPr>
        <w:t>第22条  合作义务和预先警告通知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_Toc68593626 \h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"_Toc68593627" </w:instrText>
      </w:r>
      <w:r>
        <w:fldChar w:fldCharType="separate"/>
      </w:r>
      <w:r>
        <w:rPr>
          <w:rStyle w:val="36"/>
          <w:rFonts w:ascii="Times New Roman" w:hAnsi="Times New Roman"/>
          <w:sz w:val="28"/>
          <w:szCs w:val="28"/>
        </w:rPr>
        <w:t>第23条  通知与送达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_Toc68593627 \h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"_Toc68593628" </w:instrText>
      </w:r>
      <w:r>
        <w:fldChar w:fldCharType="separate"/>
      </w:r>
      <w:r>
        <w:rPr>
          <w:rStyle w:val="36"/>
          <w:rFonts w:ascii="Times New Roman" w:hAnsi="Times New Roman"/>
          <w:sz w:val="28"/>
          <w:szCs w:val="28"/>
        </w:rPr>
        <w:t>23.1  地址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_Toc68593628 \h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"_Toc68593629" </w:instrText>
      </w:r>
      <w:r>
        <w:fldChar w:fldCharType="separate"/>
      </w:r>
      <w:r>
        <w:rPr>
          <w:rStyle w:val="36"/>
          <w:rFonts w:ascii="Times New Roman" w:hAnsi="Times New Roman"/>
          <w:sz w:val="28"/>
          <w:szCs w:val="28"/>
        </w:rPr>
        <w:t>23.2  地址改变的及时通知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_Toc68593629 \h </w:instrText>
      </w:r>
      <w:r>
        <w:rPr>
          <w:rFonts w:ascii="Times New Roman" w:hAnsi="Times New Roman" w:cs="Times New Roman"/>
          <w:sz w:val="28"/>
          <w:szCs w:val="28"/>
        </w:rPr>
        <w:fldChar w:fldCharType="separate"/>
      </w:r>
      <w:r>
        <w:rPr>
          <w:rFonts w:ascii="Times New Roman" w:hAnsi="Times New Roman" w:cs="Times New Roman"/>
          <w:sz w:val="28"/>
          <w:szCs w:val="28"/>
        </w:rPr>
        <w:t>96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"_Toc68593630" </w:instrText>
      </w:r>
      <w:r>
        <w:fldChar w:fldCharType="separate"/>
      </w:r>
      <w:r>
        <w:rPr>
          <w:rStyle w:val="36"/>
          <w:rFonts w:ascii="Times New Roman" w:hAnsi="Times New Roman"/>
          <w:sz w:val="28"/>
          <w:szCs w:val="28"/>
        </w:rPr>
        <w:t>23.3  送达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_Toc68593630 \h </w:instrText>
      </w:r>
      <w:r>
        <w:rPr>
          <w:rFonts w:ascii="Times New Roman" w:hAnsi="Times New Roman" w:cs="Times New Roman"/>
          <w:sz w:val="28"/>
          <w:szCs w:val="28"/>
        </w:rPr>
        <w:fldChar w:fldCharType="separate"/>
      </w:r>
      <w:r>
        <w:rPr>
          <w:rFonts w:ascii="Times New Roman" w:hAnsi="Times New Roman" w:cs="Times New Roman"/>
          <w:sz w:val="28"/>
          <w:szCs w:val="28"/>
        </w:rPr>
        <w:t>96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"_Toc68593631" </w:instrText>
      </w:r>
      <w:r>
        <w:fldChar w:fldCharType="separate"/>
      </w:r>
      <w:r>
        <w:rPr>
          <w:rStyle w:val="36"/>
          <w:rFonts w:ascii="Times New Roman" w:hAnsi="Times New Roman"/>
          <w:sz w:val="28"/>
          <w:szCs w:val="28"/>
        </w:rPr>
        <w:t>第24条  合同文字和文本</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_Toc68593631 \h </w:instrText>
      </w:r>
      <w:r>
        <w:rPr>
          <w:rFonts w:ascii="Times New Roman" w:hAnsi="Times New Roman" w:cs="Times New Roman"/>
          <w:sz w:val="28"/>
          <w:szCs w:val="28"/>
        </w:rPr>
        <w:fldChar w:fldCharType="separate"/>
      </w:r>
      <w:r>
        <w:rPr>
          <w:rFonts w:ascii="Times New Roman" w:hAnsi="Times New Roman" w:cs="Times New Roman"/>
          <w:sz w:val="28"/>
          <w:szCs w:val="28"/>
        </w:rPr>
        <w:t>97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"_Toc68593632" </w:instrText>
      </w:r>
      <w:r>
        <w:fldChar w:fldCharType="separate"/>
      </w:r>
      <w:r>
        <w:rPr>
          <w:rStyle w:val="36"/>
          <w:rFonts w:ascii="Times New Roman" w:hAnsi="Times New Roman"/>
          <w:sz w:val="28"/>
          <w:szCs w:val="28"/>
        </w:rPr>
        <w:t>第25条  合同效力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_Toc68593632 \h </w:instrText>
      </w:r>
      <w:r>
        <w:rPr>
          <w:rFonts w:ascii="Times New Roman" w:hAnsi="Times New Roman" w:cs="Times New Roman"/>
          <w:sz w:val="28"/>
          <w:szCs w:val="28"/>
        </w:rPr>
        <w:fldChar w:fldCharType="separate"/>
      </w:r>
      <w:r>
        <w:rPr>
          <w:rFonts w:ascii="Times New Roman" w:hAnsi="Times New Roman" w:cs="Times New Roman"/>
          <w:sz w:val="28"/>
          <w:szCs w:val="28"/>
        </w:rPr>
        <w:t>97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8637"/>
        </w:tabs>
        <w:rPr>
          <w:rFonts w:ascii="Times New Roman" w:hAnsi="Times New Roman" w:cs="Times New Roman" w:eastAsiaTheme="minorEastAsia"/>
          <w:b w:val="0"/>
          <w:bCs w:val="0"/>
          <w:caps w:val="0"/>
          <w:sz w:val="28"/>
          <w:szCs w:val="28"/>
        </w:rPr>
      </w:pPr>
      <w:r>
        <w:fldChar w:fldCharType="begin"/>
      </w:r>
      <w:r>
        <w:instrText xml:space="preserve"> HYPERLINK \l "_Toc68593633" </w:instrText>
      </w:r>
      <w:r>
        <w:fldChar w:fldCharType="separate"/>
      </w:r>
      <w:r>
        <w:rPr>
          <w:rStyle w:val="36"/>
          <w:rFonts w:ascii="Times New Roman" w:hAnsi="Times New Roman"/>
          <w:sz w:val="28"/>
          <w:szCs w:val="28"/>
        </w:rPr>
        <w:t>第26条  争议的解决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_Toc68593633 \h </w:instrText>
      </w:r>
      <w:r>
        <w:rPr>
          <w:rFonts w:ascii="Times New Roman" w:hAnsi="Times New Roman" w:cs="Times New Roman"/>
          <w:sz w:val="28"/>
          <w:szCs w:val="28"/>
        </w:rPr>
        <w:fldChar w:fldCharType="separate"/>
      </w:r>
      <w:r>
        <w:rPr>
          <w:rFonts w:ascii="Times New Roman" w:hAnsi="Times New Roman" w:cs="Times New Roman"/>
          <w:sz w:val="28"/>
          <w:szCs w:val="28"/>
        </w:rPr>
        <w:t>98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"_Toc68593634" </w:instrText>
      </w:r>
      <w:r>
        <w:fldChar w:fldCharType="separate"/>
      </w:r>
      <w:r>
        <w:rPr>
          <w:rStyle w:val="36"/>
          <w:rFonts w:ascii="Times New Roman" w:hAnsi="Times New Roman"/>
          <w:sz w:val="28"/>
          <w:szCs w:val="28"/>
        </w:rPr>
        <w:t>26.1友好协商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_Toc68593634 \h </w:instrText>
      </w:r>
      <w:r>
        <w:rPr>
          <w:rFonts w:ascii="Times New Roman" w:hAnsi="Times New Roman" w:cs="Times New Roman"/>
          <w:sz w:val="28"/>
          <w:szCs w:val="28"/>
        </w:rPr>
        <w:fldChar w:fldCharType="separate"/>
      </w:r>
      <w:r>
        <w:rPr>
          <w:rFonts w:ascii="Times New Roman" w:hAnsi="Times New Roman" w:cs="Times New Roman"/>
          <w:sz w:val="28"/>
          <w:szCs w:val="28"/>
        </w:rPr>
        <w:t>98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"_Toc68593635" </w:instrText>
      </w:r>
      <w:r>
        <w:fldChar w:fldCharType="separate"/>
      </w:r>
      <w:r>
        <w:rPr>
          <w:rStyle w:val="36"/>
          <w:rFonts w:ascii="Times New Roman" w:hAnsi="Times New Roman"/>
          <w:sz w:val="28"/>
          <w:szCs w:val="28"/>
        </w:rPr>
        <w:t>26.2 诉讼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_Toc68593635 \h </w:instrText>
      </w:r>
      <w:r>
        <w:rPr>
          <w:rFonts w:ascii="Times New Roman" w:hAnsi="Times New Roman" w:cs="Times New Roman"/>
          <w:sz w:val="28"/>
          <w:szCs w:val="28"/>
        </w:rPr>
        <w:fldChar w:fldCharType="separate"/>
      </w:r>
      <w:r>
        <w:rPr>
          <w:rFonts w:ascii="Times New Roman" w:hAnsi="Times New Roman" w:cs="Times New Roman"/>
          <w:sz w:val="28"/>
          <w:szCs w:val="28"/>
        </w:rPr>
        <w:t>98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9"/>
        <w:tabs>
          <w:tab w:val="right" w:leader="dot" w:pos="8637"/>
        </w:tabs>
        <w:rPr>
          <w:rFonts w:ascii="Times New Roman" w:hAnsi="Times New Roman" w:cs="Times New Roman" w:eastAsiaTheme="minorEastAsia"/>
          <w:smallCaps w:val="0"/>
          <w:sz w:val="28"/>
          <w:szCs w:val="28"/>
        </w:rPr>
      </w:pPr>
      <w:r>
        <w:fldChar w:fldCharType="begin"/>
      </w:r>
      <w:r>
        <w:instrText xml:space="preserve"> HYPERLINK \l "_Toc68593636" </w:instrText>
      </w:r>
      <w:r>
        <w:fldChar w:fldCharType="separate"/>
      </w:r>
      <w:r>
        <w:rPr>
          <w:rStyle w:val="36"/>
          <w:rFonts w:ascii="Times New Roman" w:hAnsi="Times New Roman"/>
          <w:sz w:val="28"/>
          <w:szCs w:val="28"/>
        </w:rPr>
        <w:t>26.3争议解决期间本合同的履行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_Toc68593636 \h </w:instrText>
      </w:r>
      <w:r>
        <w:rPr>
          <w:rFonts w:ascii="Times New Roman" w:hAnsi="Times New Roman" w:cs="Times New Roman"/>
          <w:sz w:val="28"/>
          <w:szCs w:val="28"/>
        </w:rPr>
        <w:fldChar w:fldCharType="separate"/>
      </w:r>
      <w:r>
        <w:rPr>
          <w:rFonts w:ascii="Times New Roman" w:hAnsi="Times New Roman" w:cs="Times New Roman"/>
          <w:sz w:val="28"/>
          <w:szCs w:val="28"/>
        </w:rPr>
        <w:t>98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autoSpaceDE w:val="0"/>
        <w:autoSpaceDN w:val="0"/>
        <w:adjustRightInd w:val="0"/>
        <w:spacing w:line="360" w:lineRule="auto"/>
        <w:jc w:val="left"/>
        <w:rPr>
          <w:rFonts w:ascii="Times New Roman" w:hAnsi="Times New Roman" w:eastAsiaTheme="minorEastAsia"/>
          <w:b/>
          <w:bCs/>
          <w:caps/>
          <w:kern w:val="0"/>
          <w:sz w:val="28"/>
          <w:szCs w:val="28"/>
        </w:rPr>
      </w:pPr>
      <w:r>
        <w:rPr>
          <w:rFonts w:ascii="Times New Roman" w:hAnsi="Times New Roman" w:eastAsiaTheme="minorEastAsia"/>
          <w:b/>
          <w:bCs/>
          <w:caps/>
          <w:kern w:val="0"/>
          <w:sz w:val="28"/>
          <w:szCs w:val="28"/>
        </w:rPr>
        <w:fldChar w:fldCharType="end"/>
      </w:r>
    </w:p>
    <w:p>
      <w:pPr>
        <w:pStyle w:val="2"/>
        <w:ind w:right="0" w:rightChars="0"/>
        <w:rPr>
          <w:rFonts w:ascii="Times New Roman" w:hAnsi="Times New Roman"/>
          <w:lang w:eastAsia="zh-CN"/>
        </w:rPr>
      </w:pPr>
      <w:r>
        <w:rPr>
          <w:rFonts w:ascii="Times New Roman" w:hAnsi="Times New Roman" w:eastAsiaTheme="minorEastAsia"/>
          <w:b w:val="0"/>
          <w:bCs w:val="0"/>
          <w:caps/>
          <w:kern w:val="0"/>
          <w:sz w:val="28"/>
          <w:szCs w:val="28"/>
          <w:lang w:eastAsia="zh-CN"/>
        </w:rPr>
        <w:br w:type="page"/>
      </w:r>
      <w:bookmarkStart w:id="16" w:name="_Toc68593506"/>
      <w:r>
        <w:rPr>
          <w:rFonts w:ascii="Times New Roman" w:hAnsi="Times New Roman"/>
          <w:lang w:eastAsia="zh-CN"/>
        </w:rPr>
        <w:t xml:space="preserve">第1条 </w:t>
      </w:r>
      <w:bookmarkStart w:id="17" w:name="_Toc480978637"/>
      <w:bookmarkStart w:id="18" w:name="_Toc482120668"/>
      <w:r>
        <w:rPr>
          <w:rFonts w:ascii="Times New Roman" w:hAnsi="Times New Roman"/>
          <w:lang w:eastAsia="zh-CN"/>
        </w:rPr>
        <w:t xml:space="preserve"> 定义与释义</w:t>
      </w:r>
      <w:bookmarkEnd w:id="16"/>
      <w:bookmarkEnd w:id="17"/>
      <w:bookmarkEnd w:id="18"/>
    </w:p>
    <w:p>
      <w:pPr>
        <w:pStyle w:val="3"/>
        <w:numPr>
          <w:ilvl w:val="0"/>
          <w:numId w:val="0"/>
        </w:numPr>
        <w:rPr>
          <w:rFonts w:ascii="Times New Roman" w:hAnsi="Times New Roman"/>
        </w:rPr>
      </w:pPr>
      <w:bookmarkStart w:id="19" w:name="_Toc482120669"/>
      <w:bookmarkStart w:id="20" w:name="_Toc68593507"/>
      <w:r>
        <w:rPr>
          <w:rFonts w:ascii="Times New Roman" w:hAnsi="Times New Roman"/>
        </w:rPr>
        <w:t>1.1  定义</w:t>
      </w:r>
      <w:bookmarkEnd w:id="19"/>
      <w:bookmarkEnd w:id="20"/>
    </w:p>
    <w:p>
      <w:pPr>
        <w:spacing w:after="120" w:afterLines="50"/>
        <w:ind w:firstLine="560" w:firstLineChars="200"/>
        <w:rPr>
          <w:rFonts w:ascii="Times New Roman" w:hAnsi="Times New Roman"/>
          <w:sz w:val="28"/>
          <w:szCs w:val="28"/>
        </w:rPr>
      </w:pPr>
      <w:r>
        <w:rPr>
          <w:rFonts w:ascii="Times New Roman" w:hAnsi="Times New Roman"/>
          <w:sz w:val="28"/>
          <w:szCs w:val="28"/>
        </w:rPr>
        <w:t>在本合同中，下述术语具有如下含义：</w:t>
      </w:r>
    </w:p>
    <w:tbl>
      <w:tblPr>
        <w:tblStyle w:val="33"/>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6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本合同</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甲方与乙方1、乙方2之间签订的《陕西省鄠邑经周至至眉县高速公路PPP项目PPP项目合同》、日后可能签订的本合同之补充修改协议和附件，以及本合同规定的其他文件，上述每一文件均被视为并入本合同。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特许经营期</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具有本合同第2.2条款规定的含义。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项目建设资金</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项目建设资金是指为满足项目建设需要筹集和使用的资金。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建设期</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本项目开工之日起至本项目全部工程通过交工验收合格之日止的期间。建设期不超过3年（36个月）。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运营期</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省政府批准收费之日起至特许经营期届满。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项目公司</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乙方2根据本项目投资协议第二部分第2条和第3条规定设立的项目公司。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特许经营权</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具有本合同第2.1条款规定的含义。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甲方的要求</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本合同中包括的对工程范围、技术标准、质量、进度、投资、安全、文明施工、运营维护、收费管理等的要求和说明以及根据本合同对其所作的任何变更和修正。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履约保证金</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乙方2按照本项目投资协议第二部分第5条规定向甲方提交的现金或银行保函。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认定保险赔款</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乙方1被要求获得并维持的保险所承保的事件发生时，如果乙方1遵守其在本合同项下获得并维持该等保险的义务就有权获得的，但因乙方1未遵守该等义务而无权获得的保险赔款。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违约</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本合同签约任何一方未能履行其在本合同项下的任何义务，而且这种违约不能归咎于另一方违反本合同的作为或不作为或不可抗力等。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违约利率</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在违约当时适用的中国人民银行颁布的一（1）年期贷款基准利率。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项目设施</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根据本项目经批复的施工图设计文件及其设计变更等建设形成的路基、路面、桥梁、隧道、涵洞、通道、绿化、房建、机电、交安设施、广告设施及所有相关附属设施、设备。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施工方</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和乙方1签订施工承包合同，承担本项目施工责任的各方施工单位。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开工日</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指本项目开始施工之日，具体日期以监理工程师发出的开工令为准。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商业运营日</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运营期的首日。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车辆通行费政府指导价</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本项目商业运营日开始，乙方1有权向公路使用者收取车辆通行费。其最高收费标准以省政府的批复为准。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补偿事件</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乙方1按本合同有权获得补偿的任一事件。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不可抗力</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具有第 15 条所规定的含义。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材料</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由乙方1采购的（工程设备除外）并用于本项目的各类物资。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工程设备</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本合同中规定的、由乙方1采购的预定构成或构成工程一部分所需要的设备、设施、仪表、仪器等。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临时工程</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各类为了实施和完成本项目以及修补任何缺陷所需要的全部临时性工程（乙方1和乙方2的工程设备除外）。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批准</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根据本合同规定为乙方1和乙方2将要进行的任何有关本项目投融资、建设、运营维护和移交而需从政府部门获得的书面许可、执照、同意或授权。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融资文件</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与本项目相关的贷款协议、担保协议、保函和其他文件，但不包括与提供履约保证金相关的文件。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融资交割</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当下述条件具备时，视为乙方1和乙方2完成融资交割：</w:t>
            </w:r>
          </w:p>
          <w:p>
            <w:pPr>
              <w:spacing w:line="460" w:lineRule="exact"/>
              <w:jc w:val="left"/>
              <w:rPr>
                <w:rFonts w:ascii="Times New Roman" w:hAnsi="Times New Roman"/>
                <w:sz w:val="28"/>
                <w:szCs w:val="28"/>
              </w:rPr>
            </w:pPr>
            <w:r>
              <w:rPr>
                <w:rFonts w:ascii="Times New Roman" w:hAnsi="Times New Roman"/>
                <w:sz w:val="28"/>
                <w:szCs w:val="28"/>
              </w:rPr>
              <w:t>(a)乙方2按照招标文件和融资文件的要求完成对乙方1的出资，并出具相关出资证明文件；</w:t>
            </w:r>
          </w:p>
          <w:p>
            <w:pPr>
              <w:spacing w:line="460" w:lineRule="exact"/>
              <w:jc w:val="left"/>
              <w:rPr>
                <w:rFonts w:ascii="Times New Roman" w:hAnsi="Times New Roman"/>
                <w:sz w:val="28"/>
                <w:szCs w:val="28"/>
              </w:rPr>
            </w:pPr>
            <w:r>
              <w:rPr>
                <w:rFonts w:ascii="Times New Roman" w:hAnsi="Times New Roman"/>
                <w:sz w:val="28"/>
                <w:szCs w:val="28"/>
              </w:rPr>
              <w:t>(b)乙方1和乙方2与贷款人已签署并递交所有融资文件，且融资文件要求的获得首笔资金的每一前提条件已得到满足或被贷款人放弃。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适用法律</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指所有适用的中国法律、法规、规章和政府部门颁布的所有技术标准、技术规范以及所有其他适用的强制性要求。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生效日</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甲方和乙方1、乙方2正式签署PPP项目合同之日期，如果各方签署日期不一致以较晚日期为生效日。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招标文件</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省交通运输厅在2021年【】月【】日正式发售的陕西省鄠邑经周至至眉县高速公路PPP项目招标文件及其补遗文件。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投标文件</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【中标人名称】在 2021 年【】月【】日向省交通运输厅提交的陕西省鄠邑经周至至眉县高速公路PPP项目投标文件。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投标保证金</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【中标人名称】依据招标文件的要求提交的保证金。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提前终止通知</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根据第16.4.2 条款发出的通知。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现场</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用于实施本项目工程以及工程设备和材料运达、存放的场所，以及在本合同中可能明确指定作为现场组成部分的任何场所。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乙方1的设备</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用于实施和完成项目工程以及修补任何缺陷所需要的全部机械、仪器和其他设备（临时工程除外），但不包括工程设备、材料、预定构成或构成永久工程一部分的其他物品。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移交日</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特许经营期届满后的当日，或经双方书面同意的乙方1将项目设施移交给甲方或政府指定机构的其他日期。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移交期</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移交日前三百六十五（365）日起至移交日后三百六十五（365）日止。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工作日</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vAlign w:val="center"/>
          </w:tcPr>
          <w:p>
            <w:pPr>
              <w:spacing w:line="460" w:lineRule="exact"/>
              <w:jc w:val="left"/>
              <w:rPr>
                <w:rFonts w:ascii="Times New Roman" w:hAnsi="Times New Roman"/>
                <w:sz w:val="28"/>
                <w:szCs w:val="28"/>
              </w:rPr>
            </w:pPr>
            <w:r>
              <w:rPr>
                <w:rFonts w:ascii="Times New Roman" w:hAnsi="Times New Roman"/>
                <w:sz w:val="28"/>
                <w:szCs w:val="28"/>
              </w:rPr>
              <w:t>中国法定节假日以外的公历日。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951" w:type="dxa"/>
            <w:vAlign w:val="center"/>
          </w:tcPr>
          <w:p>
            <w:pPr>
              <w:spacing w:line="460" w:lineRule="exact"/>
              <w:jc w:val="center"/>
              <w:rPr>
                <w:rFonts w:ascii="Times New Roman" w:hAnsi="Times New Roman"/>
                <w:sz w:val="28"/>
                <w:szCs w:val="28"/>
              </w:rPr>
            </w:pPr>
            <w:r>
              <w:rPr>
                <w:rFonts w:ascii="Times New Roman" w:hAnsi="Times New Roman"/>
                <w:sz w:val="28"/>
                <w:szCs w:val="28"/>
              </w:rPr>
              <w:t>重大法律变更</w:t>
            </w:r>
          </w:p>
        </w:tc>
        <w:tc>
          <w:tcPr>
            <w:tcW w:w="567" w:type="dxa"/>
            <w:vAlign w:val="center"/>
          </w:tcPr>
          <w:p>
            <w:pPr>
              <w:spacing w:line="460" w:lineRule="exact"/>
              <w:jc w:val="center"/>
              <w:rPr>
                <w:rFonts w:ascii="Times New Roman" w:hAnsi="Times New Roman"/>
                <w:sz w:val="28"/>
                <w:szCs w:val="28"/>
              </w:rPr>
            </w:pPr>
            <w:r>
              <w:rPr>
                <w:rFonts w:ascii="Times New Roman" w:hAnsi="Times New Roman"/>
                <w:sz w:val="28"/>
                <w:szCs w:val="28"/>
              </w:rPr>
              <w:t>指</w:t>
            </w:r>
          </w:p>
        </w:tc>
        <w:tc>
          <w:tcPr>
            <w:tcW w:w="5953" w:type="dxa"/>
          </w:tcPr>
          <w:p>
            <w:pPr>
              <w:spacing w:line="460" w:lineRule="exact"/>
              <w:jc w:val="left"/>
              <w:rPr>
                <w:rFonts w:ascii="Times New Roman" w:hAnsi="Times New Roman"/>
                <w:sz w:val="28"/>
                <w:szCs w:val="28"/>
              </w:rPr>
            </w:pPr>
            <w:r>
              <w:rPr>
                <w:rFonts w:ascii="Times New Roman" w:hAnsi="Times New Roman"/>
                <w:sz w:val="28"/>
                <w:szCs w:val="28"/>
              </w:rPr>
              <w:t>在本合同生效日后，中国有权部门颁布、修改、废除或重新解释的任何适用法律，导致</w:t>
            </w:r>
          </w:p>
          <w:p>
            <w:pPr>
              <w:spacing w:line="460" w:lineRule="exact"/>
              <w:jc w:val="left"/>
              <w:rPr>
                <w:rFonts w:ascii="Times New Roman" w:hAnsi="Times New Roman"/>
                <w:sz w:val="28"/>
                <w:szCs w:val="28"/>
              </w:rPr>
            </w:pPr>
            <w:r>
              <w:rPr>
                <w:rFonts w:ascii="Times New Roman" w:hAnsi="Times New Roman"/>
                <w:sz w:val="28"/>
                <w:szCs w:val="28"/>
              </w:rPr>
              <w:t>(a)适用于乙方1或由乙方1承担的税收（除所得税外）或关税发生变化；</w:t>
            </w:r>
          </w:p>
          <w:p>
            <w:pPr>
              <w:spacing w:line="460" w:lineRule="exact"/>
              <w:jc w:val="left"/>
              <w:rPr>
                <w:rFonts w:ascii="Times New Roman" w:hAnsi="Times New Roman"/>
                <w:sz w:val="28"/>
                <w:szCs w:val="28"/>
              </w:rPr>
            </w:pPr>
            <w:r>
              <w:rPr>
                <w:rFonts w:ascii="Times New Roman" w:hAnsi="Times New Roman"/>
                <w:sz w:val="28"/>
                <w:szCs w:val="28"/>
              </w:rPr>
              <w:t>(b)项目投融资、建设、运营维护和移交要求发生变化使得乙方1的资本性支出或运营成本变化。适用上述法律变更的结果导致本合同的履行存在法律上的障碍情形，增加或者减少乙方1的资本性支出或运营成本，而严重影响其预期利益的情况。</w:t>
            </w:r>
          </w:p>
        </w:tc>
      </w:tr>
    </w:tbl>
    <w:p>
      <w:pPr>
        <w:pStyle w:val="3"/>
        <w:numPr>
          <w:ilvl w:val="0"/>
          <w:numId w:val="0"/>
        </w:numPr>
        <w:rPr>
          <w:rFonts w:ascii="Times New Roman" w:hAnsi="Times New Roman"/>
        </w:rPr>
      </w:pPr>
      <w:bookmarkStart w:id="21" w:name="page20"/>
      <w:bookmarkEnd w:id="21"/>
      <w:bookmarkStart w:id="22" w:name="_Toc482120670"/>
      <w:r>
        <w:rPr>
          <w:rFonts w:ascii="Times New Roman" w:hAnsi="Times New Roman"/>
        </w:rPr>
        <w:br w:type="page"/>
      </w:r>
      <w:bookmarkStart w:id="23" w:name="_Toc68593508"/>
      <w:r>
        <w:rPr>
          <w:rFonts w:ascii="Times New Roman" w:hAnsi="Times New Roman"/>
        </w:rPr>
        <w:t>1.2  释义</w:t>
      </w:r>
      <w:bookmarkEnd w:id="22"/>
      <w:bookmarkEnd w:id="23"/>
    </w:p>
    <w:p>
      <w:pPr>
        <w:pStyle w:val="4"/>
        <w:keepNext w:val="0"/>
        <w:numPr>
          <w:ilvl w:val="0"/>
          <w:numId w:val="0"/>
        </w:numPr>
        <w:ind w:firstLine="560" w:firstLineChars="200"/>
        <w:rPr>
          <w:rFonts w:ascii="Times New Roman" w:hAnsi="Times New Roman"/>
        </w:rPr>
      </w:pPr>
      <w:r>
        <w:rPr>
          <w:rFonts w:ascii="Times New Roman" w:hAnsi="Times New Roman"/>
        </w:rPr>
        <w:t>1.2.1标题仅为方便之用，不影响解释。</w:t>
      </w:r>
    </w:p>
    <w:p>
      <w:pPr>
        <w:pStyle w:val="4"/>
        <w:keepNext w:val="0"/>
        <w:numPr>
          <w:ilvl w:val="0"/>
          <w:numId w:val="0"/>
        </w:numPr>
        <w:ind w:firstLine="560" w:firstLineChars="200"/>
        <w:rPr>
          <w:rFonts w:ascii="Times New Roman" w:hAnsi="Times New Roman"/>
        </w:rPr>
      </w:pPr>
      <w:r>
        <w:rPr>
          <w:rFonts w:ascii="Times New Roman" w:hAnsi="Times New Roman"/>
        </w:rPr>
        <w:t>1.2.2除非上下文另有要求，所提及的条款、附表或附件指本合同的条款、附表或附件。</w:t>
      </w:r>
    </w:p>
    <w:p>
      <w:pPr>
        <w:pStyle w:val="4"/>
        <w:keepNext w:val="0"/>
        <w:numPr>
          <w:ilvl w:val="0"/>
          <w:numId w:val="0"/>
        </w:numPr>
        <w:ind w:firstLine="560" w:firstLineChars="200"/>
        <w:rPr>
          <w:rFonts w:ascii="Times New Roman" w:hAnsi="Times New Roman"/>
        </w:rPr>
      </w:pPr>
      <w:r>
        <w:rPr>
          <w:rFonts w:ascii="Times New Roman" w:hAnsi="Times New Roman"/>
        </w:rPr>
        <w:t>1.2.3“包括”指包括但不限于。</w:t>
      </w:r>
    </w:p>
    <w:p>
      <w:pPr>
        <w:pStyle w:val="4"/>
        <w:keepNext w:val="0"/>
        <w:numPr>
          <w:ilvl w:val="0"/>
          <w:numId w:val="0"/>
        </w:numPr>
        <w:ind w:firstLine="560" w:firstLineChars="200"/>
        <w:rPr>
          <w:rFonts w:ascii="Times New Roman" w:hAnsi="Times New Roman"/>
        </w:rPr>
      </w:pPr>
      <w:r>
        <w:rPr>
          <w:rFonts w:ascii="Times New Roman" w:hAnsi="Times New Roman"/>
        </w:rPr>
        <w:t>1.2.4除非上下文另有规定，所有“通知”、“同意”或“批准”均指书面“通知”、“同意”或“批准”。</w:t>
      </w:r>
    </w:p>
    <w:p>
      <w:pPr>
        <w:pStyle w:val="4"/>
        <w:keepNext w:val="0"/>
        <w:numPr>
          <w:ilvl w:val="0"/>
          <w:numId w:val="0"/>
        </w:numPr>
        <w:ind w:firstLine="560" w:firstLineChars="200"/>
        <w:rPr>
          <w:rFonts w:ascii="Times New Roman" w:hAnsi="Times New Roman"/>
        </w:rPr>
      </w:pPr>
      <w:r>
        <w:rPr>
          <w:rFonts w:ascii="Times New Roman" w:hAnsi="Times New Roman"/>
        </w:rPr>
        <w:t>1.2.5除非上下文另有所指，“元”指人民币元。</w:t>
      </w:r>
    </w:p>
    <w:p>
      <w:pPr>
        <w:pStyle w:val="4"/>
        <w:keepNext w:val="0"/>
        <w:numPr>
          <w:ilvl w:val="0"/>
          <w:numId w:val="0"/>
        </w:numPr>
        <w:ind w:firstLine="560" w:firstLineChars="200"/>
        <w:rPr>
          <w:rFonts w:ascii="Times New Roman" w:hAnsi="Times New Roman"/>
        </w:rPr>
      </w:pPr>
      <w:r>
        <w:rPr>
          <w:rFonts w:ascii="Times New Roman" w:hAnsi="Times New Roman"/>
        </w:rPr>
        <w:t>1.2.6“年”、“月”、“日”均指公历的年、月、日。</w:t>
      </w:r>
    </w:p>
    <w:p>
      <w:pPr>
        <w:pStyle w:val="4"/>
        <w:keepNext w:val="0"/>
        <w:numPr>
          <w:ilvl w:val="0"/>
          <w:numId w:val="0"/>
        </w:numPr>
        <w:ind w:firstLine="560" w:firstLineChars="200"/>
        <w:rPr>
          <w:rFonts w:ascii="Times New Roman" w:hAnsi="Times New Roman"/>
        </w:rPr>
      </w:pPr>
      <w:r>
        <w:rPr>
          <w:rFonts w:ascii="Times New Roman" w:hAnsi="Times New Roman"/>
        </w:rPr>
        <w:t>1.2.7“一方”按适用情况分别指甲方或乙方1，包括其承继人和允许的被让与人或受让人；“双方”指甲方和乙方1，包括其承继人和允许的被让与人或受让人。</w:t>
      </w:r>
    </w:p>
    <w:p>
      <w:pPr>
        <w:pStyle w:val="4"/>
        <w:keepNext w:val="0"/>
        <w:numPr>
          <w:ilvl w:val="0"/>
          <w:numId w:val="0"/>
        </w:numPr>
        <w:ind w:firstLine="560" w:firstLineChars="200"/>
        <w:rPr>
          <w:rFonts w:ascii="Times New Roman" w:hAnsi="Times New Roman"/>
        </w:rPr>
      </w:pPr>
      <w:r>
        <w:rPr>
          <w:rFonts w:ascii="Times New Roman" w:hAnsi="Times New Roman"/>
        </w:rPr>
        <w:t>1.2.8若规定支付任何款项或提交任何书面材料之日不是工作日，则应在该等日期后的第一（1）个工作日支付或提交。</w:t>
      </w:r>
    </w:p>
    <w:p>
      <w:pPr>
        <w:pStyle w:val="4"/>
        <w:keepNext w:val="0"/>
        <w:numPr>
          <w:ilvl w:val="0"/>
          <w:numId w:val="0"/>
        </w:numPr>
        <w:ind w:firstLine="560" w:firstLineChars="200"/>
        <w:rPr>
          <w:rFonts w:ascii="Times New Roman" w:hAnsi="Times New Roman"/>
        </w:rPr>
      </w:pPr>
      <w:r>
        <w:rPr>
          <w:rFonts w:ascii="Times New Roman" w:hAnsi="Times New Roman"/>
        </w:rPr>
        <w:t>1.2.9如特许经营期内国、省出台其他法律法规，政策性、指导性文件，则本项目适用当期规定。</w:t>
      </w:r>
      <w:bookmarkStart w:id="24" w:name="_Toc480978638"/>
      <w:bookmarkStart w:id="25" w:name="_Toc482120671"/>
    </w:p>
    <w:p>
      <w:pPr>
        <w:jc w:val="left"/>
        <w:rPr>
          <w:rFonts w:ascii="Times New Roman" w:hAnsi="Times New Roman"/>
        </w:rPr>
      </w:pPr>
      <w:r>
        <w:rPr>
          <w:rFonts w:ascii="Times New Roman" w:hAnsi="Times New Roman"/>
        </w:rPr>
        <w:br w:type="page"/>
      </w:r>
    </w:p>
    <w:p>
      <w:pPr>
        <w:pStyle w:val="2"/>
        <w:keepNext w:val="0"/>
        <w:ind w:right="0" w:rightChars="0"/>
        <w:rPr>
          <w:rFonts w:ascii="Times New Roman" w:hAnsi="Times New Roman"/>
          <w:lang w:eastAsia="zh-CN"/>
        </w:rPr>
      </w:pPr>
      <w:bookmarkStart w:id="26" w:name="_Toc68593509"/>
      <w:r>
        <w:rPr>
          <w:rFonts w:ascii="Times New Roman" w:hAnsi="Times New Roman"/>
          <w:lang w:eastAsia="zh-CN"/>
        </w:rPr>
        <w:t>第2条  特许经营权和特许经营期</w:t>
      </w:r>
      <w:bookmarkEnd w:id="24"/>
      <w:bookmarkEnd w:id="25"/>
      <w:bookmarkEnd w:id="26"/>
    </w:p>
    <w:p>
      <w:pPr>
        <w:pStyle w:val="3"/>
        <w:keepNext w:val="0"/>
        <w:keepLines w:val="0"/>
        <w:widowControl w:val="0"/>
        <w:numPr>
          <w:ilvl w:val="0"/>
          <w:numId w:val="0"/>
        </w:numPr>
        <w:rPr>
          <w:rFonts w:ascii="Times New Roman" w:hAnsi="Times New Roman"/>
        </w:rPr>
      </w:pPr>
      <w:bookmarkStart w:id="27" w:name="_Toc68593510"/>
      <w:bookmarkStart w:id="28" w:name="_Toc482120672"/>
      <w:r>
        <w:rPr>
          <w:rFonts w:ascii="Times New Roman" w:hAnsi="Times New Roman"/>
        </w:rPr>
        <w:t>2.1  特许经营权</w:t>
      </w:r>
      <w:bookmarkEnd w:id="27"/>
      <w:bookmarkEnd w:id="28"/>
    </w:p>
    <w:p>
      <w:pPr>
        <w:pStyle w:val="4"/>
        <w:keepNext w:val="0"/>
        <w:numPr>
          <w:ilvl w:val="0"/>
          <w:numId w:val="0"/>
        </w:numPr>
        <w:ind w:firstLine="560" w:firstLineChars="200"/>
        <w:rPr>
          <w:rFonts w:ascii="Times New Roman" w:hAnsi="Times New Roman"/>
        </w:rPr>
      </w:pPr>
      <w:r>
        <w:rPr>
          <w:rFonts w:ascii="Times New Roman" w:hAnsi="Times New Roman"/>
        </w:rPr>
        <w:t>2.1.1根据投资协议的约定，乙方2应按时完成注册设立项目公司作为本合同的乙方1，由乙方1、乙方2和甲方共同签署本合同作为投资协议的补充合同，甲方授予乙方1特许经营</w:t>
      </w:r>
      <w:bookmarkStart w:id="29" w:name="page21"/>
      <w:bookmarkEnd w:id="29"/>
      <w:r>
        <w:rPr>
          <w:rFonts w:ascii="Times New Roman" w:hAnsi="Times New Roman"/>
        </w:rPr>
        <w:t>权，但不免除、不减轻乙方2应承担的费用、责任、义务和风险。乙方1承继乙方2在投资协议约定的项目投融资、建设、运营维护和移交的权利和义务，包括收取车辆通行费用并取得广告、服务区设施等经营收入的权利，以及特许经营期届满时将项目设施无偿完好移交给甲方或政府指定机构的义务。</w:t>
      </w:r>
    </w:p>
    <w:p>
      <w:pPr>
        <w:pStyle w:val="4"/>
        <w:keepNext w:val="0"/>
        <w:numPr>
          <w:ilvl w:val="0"/>
          <w:numId w:val="0"/>
        </w:numPr>
        <w:ind w:firstLine="560" w:firstLineChars="200"/>
        <w:rPr>
          <w:rFonts w:ascii="Times New Roman" w:hAnsi="Times New Roman"/>
        </w:rPr>
      </w:pPr>
      <w:r>
        <w:rPr>
          <w:rFonts w:ascii="Times New Roman" w:hAnsi="Times New Roman"/>
        </w:rPr>
        <w:t>2.1.2在特许经营期内，若乙方1根据适用法律及本合同的规定对项目设施开展除广告、服务区设施经营外的其他经营性业务的，必须事先报经甲方书面同意。届时双方应签订补充协议明确经营方式和收益分享机制等内容。乙方1必须保证此经营性业务不得影响本项目的实施，也不得有任何影响公共利益或公共安全的行为，否则甲方有权兑取相应的履约保证金。未经甲方事先书面同意的，乙方1不得开展上述经营性业务，否则甲方有权兑取乙方2相应的履约保证金。</w:t>
      </w:r>
    </w:p>
    <w:p>
      <w:pPr>
        <w:pStyle w:val="4"/>
        <w:keepNext w:val="0"/>
        <w:numPr>
          <w:ilvl w:val="0"/>
          <w:numId w:val="0"/>
        </w:numPr>
        <w:ind w:firstLine="560" w:firstLineChars="200"/>
        <w:rPr>
          <w:rFonts w:ascii="Times New Roman" w:hAnsi="Times New Roman"/>
        </w:rPr>
      </w:pPr>
      <w:r>
        <w:rPr>
          <w:rFonts w:ascii="Times New Roman" w:hAnsi="Times New Roman"/>
        </w:rPr>
        <w:t>2.1.3除不可抗力、法律法规变化或本合同相关规定外，乙方1的特许经营权在整个特许经营期内始终保持有效。</w:t>
      </w:r>
    </w:p>
    <w:p>
      <w:pPr>
        <w:pStyle w:val="4"/>
        <w:keepNext w:val="0"/>
        <w:numPr>
          <w:ilvl w:val="0"/>
          <w:numId w:val="0"/>
        </w:numPr>
        <w:ind w:firstLine="560" w:firstLineChars="200"/>
        <w:rPr>
          <w:rFonts w:ascii="Times New Roman" w:hAnsi="Times New Roman"/>
        </w:rPr>
      </w:pPr>
      <w:r>
        <w:rPr>
          <w:rFonts w:ascii="Times New Roman" w:hAnsi="Times New Roman"/>
        </w:rPr>
        <w:t>2.1.4未经甲方事先书面同意，乙方1不得转让、出租、质押特许经营权</w:t>
      </w:r>
      <w:r>
        <w:rPr>
          <w:rFonts w:hint="eastAsia" w:ascii="Times New Roman" w:hAnsi="Times New Roman"/>
        </w:rPr>
        <w:t>的收益权</w:t>
      </w:r>
      <w:r>
        <w:rPr>
          <w:rFonts w:ascii="Times New Roman" w:hAnsi="Times New Roman"/>
        </w:rPr>
        <w:t>（按照本合同乙方1用于融资的特许经营权</w:t>
      </w:r>
      <w:r>
        <w:rPr>
          <w:rFonts w:hint="eastAsia" w:ascii="Times New Roman" w:hAnsi="Times New Roman"/>
        </w:rPr>
        <w:t>的收益权</w:t>
      </w:r>
      <w:r>
        <w:rPr>
          <w:rFonts w:ascii="Times New Roman" w:hAnsi="Times New Roman"/>
        </w:rPr>
        <w:t>质押除外）。</w:t>
      </w:r>
    </w:p>
    <w:p>
      <w:pPr>
        <w:pStyle w:val="3"/>
        <w:keepNext w:val="0"/>
        <w:keepLines w:val="0"/>
        <w:widowControl w:val="0"/>
        <w:numPr>
          <w:ilvl w:val="0"/>
          <w:numId w:val="0"/>
        </w:numPr>
        <w:rPr>
          <w:rFonts w:ascii="Times New Roman" w:hAnsi="Times New Roman"/>
        </w:rPr>
      </w:pPr>
      <w:bookmarkStart w:id="30" w:name="_Toc482120673"/>
      <w:bookmarkStart w:id="31" w:name="_Toc68593511"/>
      <w:r>
        <w:rPr>
          <w:rFonts w:ascii="Times New Roman" w:hAnsi="Times New Roman"/>
        </w:rPr>
        <w:t>2.2  特许经营期</w:t>
      </w:r>
      <w:bookmarkEnd w:id="30"/>
      <w:bookmarkEnd w:id="31"/>
    </w:p>
    <w:p>
      <w:pPr>
        <w:pStyle w:val="4"/>
        <w:keepNext w:val="0"/>
        <w:numPr>
          <w:ilvl w:val="0"/>
          <w:numId w:val="0"/>
        </w:numPr>
        <w:ind w:firstLine="560" w:firstLineChars="200"/>
        <w:rPr>
          <w:rFonts w:ascii="Times New Roman" w:hAnsi="Times New Roman"/>
        </w:rPr>
      </w:pPr>
      <w:r>
        <w:rPr>
          <w:rFonts w:ascii="Times New Roman" w:hAnsi="Times New Roman"/>
        </w:rPr>
        <w:t>2.2.1除本合同第16条提前终止，或第7.4.3条款、第7.4.4条款、第15.4.2条款外，建设期：陕西省鄠邑经周至至眉县高速公路建设期不超过三（3）年，运营期：为（  ）。</w:t>
      </w:r>
    </w:p>
    <w:p>
      <w:pPr>
        <w:pStyle w:val="4"/>
        <w:keepNext w:val="0"/>
        <w:numPr>
          <w:ilvl w:val="0"/>
          <w:numId w:val="0"/>
        </w:numPr>
        <w:ind w:firstLine="560" w:firstLineChars="200"/>
        <w:rPr>
          <w:rFonts w:ascii="Times New Roman" w:hAnsi="Times New Roman"/>
        </w:rPr>
      </w:pPr>
      <w:r>
        <w:rPr>
          <w:rFonts w:ascii="Times New Roman" w:hAnsi="Times New Roman"/>
        </w:rPr>
        <w:t>2.2.2如因乙方1或乙方2原因造成建设期延长，特许经营期不变，运营期相应缩短。</w:t>
      </w:r>
    </w:p>
    <w:p>
      <w:pPr>
        <w:pStyle w:val="4"/>
        <w:keepNext w:val="0"/>
        <w:numPr>
          <w:ilvl w:val="0"/>
          <w:numId w:val="0"/>
        </w:numPr>
        <w:ind w:firstLine="560" w:firstLineChars="200"/>
        <w:rPr>
          <w:rFonts w:ascii="Times New Roman" w:hAnsi="Times New Roman"/>
        </w:rPr>
      </w:pPr>
      <w:r>
        <w:rPr>
          <w:rFonts w:ascii="Times New Roman" w:hAnsi="Times New Roman"/>
        </w:rPr>
        <w:t>2.2.3</w:t>
      </w:r>
      <w:r>
        <w:rPr>
          <w:rFonts w:hint="eastAsia" w:ascii="Times New Roman" w:hAnsi="Times New Roman"/>
        </w:rPr>
        <w:t>如因乙方1或乙方2原因造成建设期缩短，运营期不变，特许经营期相应缩短</w:t>
      </w:r>
      <w:r>
        <w:rPr>
          <w:rFonts w:ascii="Times New Roman" w:hAnsi="Times New Roman"/>
        </w:rPr>
        <w:t>。</w:t>
      </w:r>
    </w:p>
    <w:p>
      <w:pPr>
        <w:pStyle w:val="4"/>
        <w:keepNext w:val="0"/>
        <w:numPr>
          <w:ilvl w:val="0"/>
          <w:numId w:val="0"/>
        </w:numPr>
        <w:ind w:firstLine="560" w:firstLineChars="200"/>
        <w:rPr>
          <w:rFonts w:ascii="Times New Roman" w:hAnsi="Times New Roman"/>
        </w:rPr>
      </w:pPr>
      <w:r>
        <w:rPr>
          <w:rFonts w:ascii="Times New Roman" w:hAnsi="Times New Roman"/>
        </w:rPr>
        <w:t>2.2.4如因非乙方1或乙方2原因造成的建设期延长或缩短，经甲方书面同意，建设期相应延长或缩短，运营期不变。</w:t>
      </w:r>
    </w:p>
    <w:p>
      <w:pPr>
        <w:pStyle w:val="2"/>
        <w:keepNext w:val="0"/>
        <w:ind w:right="0" w:rightChars="0"/>
        <w:rPr>
          <w:rFonts w:ascii="Times New Roman" w:hAnsi="Times New Roman"/>
          <w:lang w:eastAsia="zh-CN"/>
        </w:rPr>
      </w:pPr>
      <w:r>
        <w:rPr>
          <w:rFonts w:ascii="Times New Roman" w:hAnsi="Times New Roman"/>
          <w:lang w:eastAsia="zh-CN"/>
        </w:rPr>
        <w:br w:type="page"/>
      </w:r>
      <w:bookmarkStart w:id="32" w:name="page22"/>
      <w:bookmarkEnd w:id="32"/>
      <w:bookmarkStart w:id="33" w:name="page23"/>
      <w:bookmarkEnd w:id="33"/>
      <w:bookmarkStart w:id="34" w:name="_Toc480978639"/>
      <w:bookmarkStart w:id="35" w:name="_Toc68593512"/>
      <w:bookmarkStart w:id="36" w:name="_Toc482120675"/>
      <w:r>
        <w:rPr>
          <w:rFonts w:ascii="Times New Roman" w:hAnsi="Times New Roman"/>
          <w:lang w:eastAsia="zh-CN"/>
        </w:rPr>
        <w:t>第3条  声明和保证</w:t>
      </w:r>
      <w:bookmarkEnd w:id="34"/>
      <w:bookmarkEnd w:id="35"/>
      <w:bookmarkEnd w:id="36"/>
    </w:p>
    <w:p>
      <w:pPr>
        <w:pStyle w:val="3"/>
        <w:keepNext w:val="0"/>
        <w:keepLines w:val="0"/>
        <w:widowControl w:val="0"/>
        <w:numPr>
          <w:ilvl w:val="0"/>
          <w:numId w:val="0"/>
        </w:numPr>
        <w:rPr>
          <w:rFonts w:ascii="Times New Roman" w:hAnsi="Times New Roman"/>
        </w:rPr>
      </w:pPr>
      <w:bookmarkStart w:id="37" w:name="_Toc482120676"/>
      <w:bookmarkStart w:id="38" w:name="_Toc68593513"/>
      <w:r>
        <w:rPr>
          <w:rFonts w:ascii="Times New Roman" w:hAnsi="Times New Roman"/>
        </w:rPr>
        <w:t>3.1  甲方的声明</w:t>
      </w:r>
      <w:bookmarkEnd w:id="37"/>
      <w:bookmarkEnd w:id="38"/>
    </w:p>
    <w:p>
      <w:pPr>
        <w:pStyle w:val="4"/>
        <w:keepNext w:val="0"/>
        <w:numPr>
          <w:ilvl w:val="0"/>
          <w:numId w:val="0"/>
        </w:numPr>
        <w:ind w:firstLine="560" w:firstLineChars="200"/>
        <w:rPr>
          <w:rFonts w:ascii="Times New Roman" w:hAnsi="Times New Roman"/>
        </w:rPr>
      </w:pPr>
      <w:r>
        <w:rPr>
          <w:rFonts w:ascii="Times New Roman" w:hAnsi="Times New Roman"/>
        </w:rPr>
        <w:t>甲方在PPP项目合同中向乙方1及乙方2声明，在生效日：</w:t>
      </w:r>
    </w:p>
    <w:p>
      <w:pPr>
        <w:pStyle w:val="4"/>
        <w:keepNext w:val="0"/>
        <w:numPr>
          <w:ilvl w:val="0"/>
          <w:numId w:val="0"/>
        </w:numPr>
        <w:ind w:firstLine="560" w:firstLineChars="200"/>
        <w:rPr>
          <w:rFonts w:ascii="Times New Roman" w:hAnsi="Times New Roman"/>
        </w:rPr>
      </w:pPr>
      <w:r>
        <w:rPr>
          <w:rFonts w:ascii="Times New Roman" w:hAnsi="Times New Roman"/>
        </w:rPr>
        <w:t>3.1.1 省政府已确定甲方为签署本合同的单位；</w:t>
      </w:r>
    </w:p>
    <w:p>
      <w:pPr>
        <w:pStyle w:val="4"/>
        <w:keepNext w:val="0"/>
        <w:numPr>
          <w:ilvl w:val="0"/>
          <w:numId w:val="0"/>
        </w:numPr>
        <w:ind w:firstLine="560" w:firstLineChars="200"/>
        <w:rPr>
          <w:rFonts w:ascii="Times New Roman" w:hAnsi="Times New Roman"/>
        </w:rPr>
      </w:pPr>
      <w:r>
        <w:rPr>
          <w:rFonts w:ascii="Times New Roman" w:hAnsi="Times New Roman"/>
        </w:rPr>
        <w:t>3.1.2甲方具有签署和履行本合同的法人主体资格和权利；</w:t>
      </w:r>
    </w:p>
    <w:p>
      <w:pPr>
        <w:pStyle w:val="4"/>
        <w:keepNext w:val="0"/>
        <w:numPr>
          <w:ilvl w:val="0"/>
          <w:numId w:val="0"/>
        </w:numPr>
        <w:ind w:firstLine="560" w:firstLineChars="200"/>
        <w:rPr>
          <w:rFonts w:ascii="Times New Roman" w:hAnsi="Times New Roman"/>
        </w:rPr>
      </w:pPr>
      <w:r>
        <w:rPr>
          <w:rFonts w:ascii="Times New Roman" w:hAnsi="Times New Roman"/>
        </w:rPr>
        <w:t>3.1.3如果甲方在本合同第3.1条款所作的声明被证明不属实，乙方1和乙方2有权终止本合同。</w:t>
      </w:r>
    </w:p>
    <w:p>
      <w:pPr>
        <w:pStyle w:val="3"/>
        <w:keepNext w:val="0"/>
        <w:keepLines w:val="0"/>
        <w:widowControl w:val="0"/>
        <w:numPr>
          <w:ilvl w:val="0"/>
          <w:numId w:val="0"/>
        </w:numPr>
        <w:rPr>
          <w:rFonts w:ascii="Times New Roman" w:hAnsi="Times New Roman"/>
        </w:rPr>
      </w:pPr>
      <w:bookmarkStart w:id="39" w:name="_Toc482120677"/>
      <w:bookmarkStart w:id="40" w:name="_Toc68593514"/>
      <w:r>
        <w:rPr>
          <w:rFonts w:ascii="Times New Roman" w:hAnsi="Times New Roman"/>
        </w:rPr>
        <w:t>3.2  乙方1及乙方2的声明</w:t>
      </w:r>
      <w:bookmarkEnd w:id="39"/>
      <w:bookmarkEnd w:id="40"/>
    </w:p>
    <w:p>
      <w:pPr>
        <w:pStyle w:val="4"/>
        <w:keepNext w:val="0"/>
        <w:numPr>
          <w:ilvl w:val="0"/>
          <w:numId w:val="0"/>
        </w:numPr>
        <w:ind w:firstLine="560" w:firstLineChars="200"/>
        <w:rPr>
          <w:rFonts w:ascii="Times New Roman" w:hAnsi="Times New Roman"/>
        </w:rPr>
      </w:pPr>
      <w:r>
        <w:rPr>
          <w:rFonts w:ascii="Times New Roman" w:hAnsi="Times New Roman"/>
        </w:rPr>
        <w:t>乙方1及乙方2在PPP项目合同中向甲方声明，在生效日：</w:t>
      </w:r>
    </w:p>
    <w:p>
      <w:pPr>
        <w:pStyle w:val="4"/>
        <w:keepNext w:val="0"/>
        <w:numPr>
          <w:ilvl w:val="0"/>
          <w:numId w:val="0"/>
        </w:numPr>
        <w:ind w:firstLine="560" w:firstLineChars="200"/>
        <w:rPr>
          <w:rFonts w:ascii="Times New Roman" w:hAnsi="Times New Roman"/>
        </w:rPr>
      </w:pPr>
      <w:r>
        <w:rPr>
          <w:rFonts w:ascii="Times New Roman" w:hAnsi="Times New Roman"/>
        </w:rPr>
        <w:t>3.2.1乙方2已经依据中国法律正式完成注册并成立项目公司作为本合同签约乙方1，乙方1具有签署和履行本合同的法人主体资格和能力；</w:t>
      </w:r>
    </w:p>
    <w:p>
      <w:pPr>
        <w:pStyle w:val="4"/>
        <w:keepNext w:val="0"/>
        <w:numPr>
          <w:ilvl w:val="0"/>
          <w:numId w:val="0"/>
        </w:numPr>
        <w:ind w:firstLine="560" w:firstLineChars="200"/>
        <w:rPr>
          <w:rFonts w:ascii="Times New Roman" w:hAnsi="Times New Roman"/>
        </w:rPr>
      </w:pPr>
      <w:r>
        <w:rPr>
          <w:rFonts w:ascii="Times New Roman" w:hAnsi="Times New Roman"/>
        </w:rPr>
        <w:t>3.2.2乙方2全资出资不少于人民币叁亿元整（￥300,000,000.00）作为注册资本并完成注册设立乙方1</w:t>
      </w:r>
      <w:r>
        <w:rPr>
          <w:rFonts w:hint="eastAsia" w:ascii="Times New Roman" w:hAnsi="Times New Roman"/>
        </w:rPr>
        <w:t>，须于乙方1完成工商注册后六十（60）日内实缴到位。</w:t>
      </w:r>
      <w:r>
        <w:rPr>
          <w:rFonts w:ascii="Times New Roman" w:hAnsi="Times New Roman"/>
        </w:rPr>
        <w:t>乙方1已经为本合同的履行准备了足够的资金、人员和设备，将从财务、设备和技术力量等一切可能来确保履行本合同的各项义务；</w:t>
      </w:r>
    </w:p>
    <w:p>
      <w:pPr>
        <w:pStyle w:val="4"/>
        <w:keepNext w:val="0"/>
        <w:numPr>
          <w:ilvl w:val="0"/>
          <w:numId w:val="0"/>
        </w:numPr>
        <w:ind w:firstLine="560" w:firstLineChars="200"/>
        <w:rPr>
          <w:rFonts w:ascii="Times New Roman" w:hAnsi="Times New Roman"/>
        </w:rPr>
      </w:pPr>
      <w:r>
        <w:rPr>
          <w:rFonts w:ascii="Times New Roman" w:hAnsi="Times New Roman"/>
        </w:rPr>
        <w:t>3.2.3本合同签署时，乙方1已经取得了与签署和履行本合同有关的一切内部、外部的授权和许可，本合同一经签署，即对乙方1具有完全的法律约束力，签署和履行本合同的义务、条款和条件不会导致乙方1违反法律法规、行政决定、生效的法律文书的强制性规定，违反其与第三方合同的条款、条件和承诺，也不会导致任何利益冲突</w:t>
      </w:r>
      <w:r>
        <w:rPr>
          <w:rFonts w:hint="eastAsia" w:ascii="Times New Roman" w:hAnsi="Times New Roman"/>
        </w:rPr>
        <w:t>，如有违反的，由乙方1及时处理消除，造成损失的概由乙方1承担</w:t>
      </w:r>
      <w:r>
        <w:rPr>
          <w:rFonts w:ascii="Times New Roman" w:hAnsi="Times New Roman"/>
        </w:rPr>
        <w:t>；</w:t>
      </w:r>
      <w:bookmarkStart w:id="41" w:name="page24"/>
      <w:bookmarkEnd w:id="41"/>
    </w:p>
    <w:p>
      <w:pPr>
        <w:pStyle w:val="4"/>
        <w:keepNext w:val="0"/>
        <w:numPr>
          <w:ilvl w:val="0"/>
          <w:numId w:val="0"/>
        </w:numPr>
        <w:ind w:firstLine="560" w:firstLineChars="200"/>
        <w:rPr>
          <w:rFonts w:ascii="Times New Roman" w:hAnsi="Times New Roman"/>
        </w:rPr>
      </w:pPr>
      <w:r>
        <w:rPr>
          <w:rFonts w:ascii="Times New Roman" w:hAnsi="Times New Roman"/>
        </w:rPr>
        <w:t>3.2.4如果乙方1在本合同第3.2条款下所作的声明被证明不属实，甲方有权终止本合同。</w:t>
      </w:r>
    </w:p>
    <w:p>
      <w:pPr>
        <w:pStyle w:val="3"/>
        <w:keepNext w:val="0"/>
        <w:keepLines w:val="0"/>
        <w:widowControl w:val="0"/>
        <w:numPr>
          <w:ilvl w:val="0"/>
          <w:numId w:val="0"/>
        </w:numPr>
        <w:rPr>
          <w:rFonts w:ascii="Times New Roman" w:hAnsi="Times New Roman"/>
        </w:rPr>
      </w:pPr>
      <w:bookmarkStart w:id="42" w:name="_Toc482120678"/>
      <w:bookmarkStart w:id="43" w:name="_Toc68593515"/>
      <w:r>
        <w:rPr>
          <w:rFonts w:ascii="Times New Roman" w:hAnsi="Times New Roman"/>
        </w:rPr>
        <w:t>3.3  不限制甲方的权利</w:t>
      </w:r>
      <w:bookmarkEnd w:id="42"/>
      <w:bookmarkEnd w:id="43"/>
    </w:p>
    <w:p>
      <w:pPr>
        <w:pStyle w:val="4"/>
        <w:keepNext w:val="0"/>
        <w:numPr>
          <w:ilvl w:val="0"/>
          <w:numId w:val="0"/>
        </w:numPr>
        <w:ind w:firstLine="560" w:firstLineChars="200"/>
        <w:rPr>
          <w:rFonts w:ascii="Times New Roman" w:hAnsi="Times New Roman"/>
        </w:rPr>
      </w:pPr>
      <w:r>
        <w:rPr>
          <w:rFonts w:ascii="Times New Roman" w:hAnsi="Times New Roman"/>
        </w:rPr>
        <w:t>本合同不限制甲方作为行业主管部门的法定权利，甲方有权根据适用法律和本合同的约定对本合同项下的特许经营活动进行监管。</w:t>
      </w:r>
    </w:p>
    <w:p>
      <w:pPr>
        <w:pStyle w:val="3"/>
        <w:keepNext w:val="0"/>
        <w:keepLines w:val="0"/>
        <w:widowControl w:val="0"/>
        <w:numPr>
          <w:ilvl w:val="0"/>
          <w:numId w:val="0"/>
        </w:numPr>
        <w:rPr>
          <w:rFonts w:ascii="Times New Roman" w:hAnsi="Times New Roman"/>
        </w:rPr>
      </w:pPr>
      <w:bookmarkStart w:id="44" w:name="_Toc482120679"/>
      <w:bookmarkStart w:id="45" w:name="_Toc68593516"/>
      <w:r>
        <w:rPr>
          <w:rFonts w:ascii="Times New Roman" w:hAnsi="Times New Roman"/>
        </w:rPr>
        <w:t>3.4  履约保证金</w:t>
      </w:r>
      <w:bookmarkEnd w:id="44"/>
      <w:bookmarkEnd w:id="45"/>
    </w:p>
    <w:p>
      <w:pPr>
        <w:pStyle w:val="4"/>
        <w:keepNext w:val="0"/>
        <w:numPr>
          <w:ilvl w:val="0"/>
          <w:numId w:val="0"/>
        </w:numPr>
        <w:ind w:firstLine="560" w:firstLineChars="200"/>
        <w:rPr>
          <w:rFonts w:ascii="Times New Roman" w:hAnsi="Times New Roman"/>
        </w:rPr>
      </w:pPr>
      <w:r>
        <w:rPr>
          <w:rFonts w:ascii="Times New Roman" w:hAnsi="Times New Roman"/>
        </w:rPr>
        <w:t>3.4.1在本合同签署前，乙方2已经按照投资协议的相关规定提交了履约保证金。</w:t>
      </w:r>
    </w:p>
    <w:p>
      <w:pPr>
        <w:pStyle w:val="4"/>
        <w:keepNext w:val="0"/>
        <w:numPr>
          <w:ilvl w:val="0"/>
          <w:numId w:val="0"/>
        </w:numPr>
        <w:ind w:firstLine="560" w:firstLineChars="200"/>
        <w:rPr>
          <w:rFonts w:ascii="Times New Roman" w:hAnsi="Times New Roman"/>
        </w:rPr>
      </w:pPr>
      <w:r>
        <w:rPr>
          <w:rFonts w:ascii="Times New Roman" w:hAnsi="Times New Roman"/>
        </w:rPr>
        <w:t>3.4.2存在以下情况，甲方</w:t>
      </w:r>
      <w:r>
        <w:rPr>
          <w:rFonts w:hint="eastAsia" w:ascii="Times New Roman" w:hAnsi="Times New Roman"/>
        </w:rPr>
        <w:t>有权兑取履约保证金</w:t>
      </w:r>
      <w:r>
        <w:rPr>
          <w:rFonts w:ascii="Times New Roman" w:hAnsi="Times New Roman"/>
        </w:rPr>
        <w:t>，并有权终止或解除本合同：</w:t>
      </w:r>
    </w:p>
    <w:p>
      <w:pPr>
        <w:pStyle w:val="4"/>
        <w:keepNext w:val="0"/>
        <w:numPr>
          <w:ilvl w:val="0"/>
          <w:numId w:val="0"/>
        </w:numPr>
        <w:ind w:firstLine="560" w:firstLineChars="200"/>
        <w:rPr>
          <w:rFonts w:ascii="Times New Roman" w:hAnsi="Times New Roman"/>
        </w:rPr>
      </w:pPr>
      <w:r>
        <w:rPr>
          <w:rFonts w:ascii="Times New Roman" w:hAnsi="Times New Roman"/>
        </w:rPr>
        <w:t>（</w:t>
      </w:r>
      <w:r>
        <w:rPr>
          <w:rFonts w:hint="eastAsia" w:ascii="Times New Roman" w:hAnsi="Times New Roman"/>
        </w:rPr>
        <w:t>a</w:t>
      </w:r>
      <w:r>
        <w:rPr>
          <w:rFonts w:ascii="Times New Roman" w:hAnsi="Times New Roman"/>
        </w:rPr>
        <w:t>）因乙方1未全部或部分履行其在本合同项下项目工程建设和运营的义务，且在甲方要求的期限内未予纠正，或未按本合同的约定承担违约责任，甲方有权兑取履约保证金的相应金额。</w:t>
      </w:r>
    </w:p>
    <w:p>
      <w:pPr>
        <w:pStyle w:val="4"/>
        <w:keepNext w:val="0"/>
        <w:numPr>
          <w:ilvl w:val="0"/>
          <w:numId w:val="0"/>
        </w:numPr>
        <w:ind w:firstLine="560" w:firstLineChars="200"/>
        <w:rPr>
          <w:rFonts w:ascii="Times New Roman" w:hAnsi="Times New Roman"/>
        </w:rPr>
      </w:pPr>
      <w:r>
        <w:rPr>
          <w:rFonts w:ascii="Times New Roman" w:hAnsi="Times New Roman"/>
        </w:rPr>
        <w:t>（</w:t>
      </w:r>
      <w:r>
        <w:rPr>
          <w:rFonts w:hint="eastAsia" w:ascii="Times New Roman" w:hAnsi="Times New Roman"/>
        </w:rPr>
        <w:t>b</w:t>
      </w:r>
      <w:r>
        <w:rPr>
          <w:rFonts w:ascii="Times New Roman" w:hAnsi="Times New Roman"/>
        </w:rPr>
        <w:t>）乙方2未按规定按时足额补充履约保证金，甲方有权兑取履约保证金届时所剩余的全部金额。</w:t>
      </w:r>
    </w:p>
    <w:p>
      <w:pPr>
        <w:pStyle w:val="4"/>
        <w:keepNext w:val="0"/>
        <w:numPr>
          <w:ilvl w:val="0"/>
          <w:numId w:val="0"/>
        </w:numPr>
        <w:ind w:firstLine="560" w:firstLineChars="200"/>
        <w:rPr>
          <w:rFonts w:ascii="Times New Roman" w:hAnsi="Times New Roman"/>
        </w:rPr>
      </w:pPr>
      <w:r>
        <w:rPr>
          <w:rFonts w:ascii="Times New Roman" w:hAnsi="Times New Roman"/>
        </w:rPr>
        <w:t>（</w:t>
      </w:r>
      <w:r>
        <w:rPr>
          <w:rFonts w:hint="eastAsia" w:ascii="Times New Roman" w:hAnsi="Times New Roman"/>
        </w:rPr>
        <w:t>c</w:t>
      </w:r>
      <w:r>
        <w:rPr>
          <w:rFonts w:ascii="Times New Roman" w:hAnsi="Times New Roman"/>
        </w:rPr>
        <w:t>）若履约保证金以保函形式提交，乙方1未按照规定在每份保函到期日至少三十（30）日之前向甲方提交用以替换的保函，甲方有权兑取乙方2履约保证金的全部金额。</w:t>
      </w:r>
    </w:p>
    <w:p>
      <w:pPr>
        <w:pStyle w:val="4"/>
        <w:keepNext w:val="0"/>
        <w:numPr>
          <w:ilvl w:val="0"/>
          <w:numId w:val="0"/>
        </w:numPr>
        <w:ind w:firstLine="560" w:firstLineChars="200"/>
        <w:rPr>
          <w:rFonts w:ascii="Times New Roman" w:hAnsi="Times New Roman"/>
        </w:rPr>
      </w:pPr>
      <w:bookmarkStart w:id="46" w:name="page25"/>
      <w:bookmarkEnd w:id="46"/>
      <w:r>
        <w:rPr>
          <w:rFonts w:ascii="Times New Roman" w:hAnsi="Times New Roman"/>
        </w:rPr>
        <w:t>（</w:t>
      </w:r>
      <w:r>
        <w:rPr>
          <w:rFonts w:hint="eastAsia" w:ascii="Times New Roman" w:hAnsi="Times New Roman"/>
        </w:rPr>
        <w:t>d</w:t>
      </w:r>
      <w:r>
        <w:rPr>
          <w:rFonts w:ascii="Times New Roman" w:hAnsi="Times New Roman"/>
        </w:rPr>
        <w:t>）甲方在根据本合同兑取履约保证金任何金额之前，应向乙方1发出书面通知并告知甲方兑取的理由和拟兑取的金额。除非乙方1在收到该等通知后七（7）个工作日内向甲方全额支付上述拟兑取的金额或在收到通知后七（7）个工作日内提交用于替换的保函，否则，甲方有权兑取履约保证金作为乙方1的违约金。</w:t>
      </w:r>
    </w:p>
    <w:p>
      <w:pPr>
        <w:pStyle w:val="4"/>
        <w:keepNext w:val="0"/>
        <w:numPr>
          <w:ilvl w:val="0"/>
          <w:numId w:val="0"/>
        </w:numPr>
        <w:ind w:firstLine="560" w:firstLineChars="200"/>
        <w:rPr>
          <w:rFonts w:ascii="Times New Roman" w:hAnsi="Times New Roman"/>
        </w:rPr>
      </w:pPr>
      <w:r>
        <w:rPr>
          <w:rFonts w:ascii="Times New Roman" w:hAnsi="Times New Roman"/>
        </w:rPr>
        <w:t>（</w:t>
      </w:r>
      <w:r>
        <w:rPr>
          <w:rFonts w:hint="eastAsia" w:ascii="Times New Roman" w:hAnsi="Times New Roman"/>
        </w:rPr>
        <w:t>e</w:t>
      </w:r>
      <w:r>
        <w:rPr>
          <w:rFonts w:ascii="Times New Roman" w:hAnsi="Times New Roman"/>
        </w:rPr>
        <w:t>）交工验收前，乙方1违反本项目投资协议第二部分第3条和本合同第17.2条款的。</w:t>
      </w:r>
    </w:p>
    <w:p>
      <w:pPr>
        <w:pStyle w:val="4"/>
        <w:keepNext w:val="0"/>
        <w:numPr>
          <w:ilvl w:val="0"/>
          <w:numId w:val="0"/>
        </w:numPr>
        <w:ind w:firstLine="560" w:firstLineChars="200"/>
        <w:rPr>
          <w:rFonts w:ascii="Times New Roman" w:hAnsi="Times New Roman"/>
        </w:rPr>
      </w:pPr>
      <w:r>
        <w:rPr>
          <w:rFonts w:ascii="Times New Roman" w:hAnsi="Times New Roman"/>
        </w:rPr>
        <w:t>（</w:t>
      </w:r>
      <w:r>
        <w:rPr>
          <w:rFonts w:hint="eastAsia" w:ascii="Times New Roman" w:hAnsi="Times New Roman"/>
        </w:rPr>
        <w:t>f</w:t>
      </w:r>
      <w:r>
        <w:rPr>
          <w:rFonts w:ascii="Times New Roman" w:hAnsi="Times New Roman"/>
        </w:rPr>
        <w:t>）乙方1及乙方2发生本合同其他实质性违约情形的。</w:t>
      </w:r>
    </w:p>
    <w:p>
      <w:pPr>
        <w:pStyle w:val="4"/>
        <w:keepNext w:val="0"/>
        <w:numPr>
          <w:ilvl w:val="0"/>
          <w:numId w:val="0"/>
        </w:numPr>
        <w:ind w:firstLine="560" w:firstLineChars="200"/>
        <w:rPr>
          <w:rFonts w:ascii="Times New Roman" w:hAnsi="Times New Roman"/>
        </w:rPr>
      </w:pPr>
      <w:r>
        <w:rPr>
          <w:rFonts w:ascii="Times New Roman" w:hAnsi="Times New Roman"/>
        </w:rPr>
        <w:t>3.4.3履约保证金有效期</w:t>
      </w:r>
    </w:p>
    <w:p>
      <w:pPr>
        <w:pStyle w:val="4"/>
        <w:keepNext w:val="0"/>
        <w:numPr>
          <w:ilvl w:val="0"/>
          <w:numId w:val="0"/>
        </w:numPr>
        <w:ind w:firstLine="560" w:firstLineChars="200"/>
        <w:rPr>
          <w:rFonts w:ascii="Times New Roman" w:hAnsi="Times New Roman"/>
        </w:rPr>
      </w:pPr>
      <w:r>
        <w:rPr>
          <w:rFonts w:ascii="Times New Roman" w:hAnsi="Times New Roman"/>
        </w:rPr>
        <w:t>若履约保证金以保函形式提交，乙方2可以开立多份有效期首尾相连的银行保函，但每份保函的有效期不得低于十二（12）个月。每份保函有效期届满前至少三十（30）日乙方1应按投资协议第5.2.1条款至第5.2.3条款规定向甲方提交一份用以替换的保函，用以替换的保函自原保函有效期届满日的次日起生效。最后一份保函的有效期应至特许经营期届满后的三百六十五（365）日的次日结束。</w:t>
      </w:r>
    </w:p>
    <w:p>
      <w:pPr>
        <w:pStyle w:val="4"/>
        <w:keepNext w:val="0"/>
        <w:numPr>
          <w:ilvl w:val="0"/>
          <w:numId w:val="0"/>
        </w:numPr>
        <w:ind w:firstLine="560" w:firstLineChars="200"/>
        <w:rPr>
          <w:rFonts w:ascii="Times New Roman" w:hAnsi="Times New Roman"/>
        </w:rPr>
      </w:pPr>
      <w:r>
        <w:rPr>
          <w:rFonts w:ascii="Times New Roman" w:hAnsi="Times New Roman"/>
        </w:rPr>
        <w:t>3.4.4履约保证金的提交方式</w:t>
      </w:r>
    </w:p>
    <w:p>
      <w:pPr>
        <w:pStyle w:val="4"/>
        <w:keepNext w:val="0"/>
        <w:numPr>
          <w:ilvl w:val="0"/>
          <w:numId w:val="0"/>
        </w:numPr>
        <w:ind w:firstLine="560" w:firstLineChars="200"/>
        <w:rPr>
          <w:rFonts w:ascii="Times New Roman" w:hAnsi="Times New Roman"/>
        </w:rPr>
      </w:pPr>
      <w:r>
        <w:rPr>
          <w:rFonts w:ascii="Times New Roman" w:hAnsi="Times New Roman"/>
        </w:rPr>
        <w:t>履约保证金的提交须为现金或提供有效的银行保函原件。</w:t>
      </w:r>
    </w:p>
    <w:p>
      <w:pPr>
        <w:pStyle w:val="4"/>
        <w:keepNext w:val="0"/>
        <w:numPr>
          <w:ilvl w:val="0"/>
          <w:numId w:val="0"/>
        </w:numPr>
        <w:ind w:firstLine="560" w:firstLineChars="200"/>
        <w:rPr>
          <w:rFonts w:ascii="Times New Roman" w:hAnsi="Times New Roman"/>
        </w:rPr>
      </w:pPr>
      <w:r>
        <w:rPr>
          <w:rFonts w:ascii="Times New Roman" w:hAnsi="Times New Roman"/>
        </w:rPr>
        <w:t>3.4.5甲方行使兑取履约保证金的权利不损害甲方在本合同项下的其他权利，并且不应免除、不减轻乙方1和乙方2履行本合同项下的义务及责任。</w:t>
      </w:r>
    </w:p>
    <w:p>
      <w:pPr>
        <w:pStyle w:val="2"/>
        <w:keepNext w:val="0"/>
        <w:ind w:right="0" w:rightChars="0"/>
        <w:rPr>
          <w:rFonts w:ascii="Times New Roman" w:hAnsi="Times New Roman"/>
          <w:b w:val="0"/>
          <w:lang w:eastAsia="zh-CN"/>
        </w:rPr>
      </w:pPr>
      <w:r>
        <w:rPr>
          <w:rFonts w:ascii="Times New Roman" w:hAnsi="Times New Roman"/>
          <w:lang w:eastAsia="zh-CN"/>
        </w:rPr>
        <w:br w:type="page"/>
      </w:r>
      <w:bookmarkStart w:id="47" w:name="page26"/>
      <w:bookmarkEnd w:id="47"/>
      <w:bookmarkStart w:id="48" w:name="_Toc480978640"/>
      <w:bookmarkStart w:id="49" w:name="_Toc482120680"/>
      <w:bookmarkStart w:id="50" w:name="_Toc68593517"/>
      <w:r>
        <w:rPr>
          <w:rFonts w:ascii="Times New Roman" w:hAnsi="Times New Roman"/>
          <w:lang w:eastAsia="zh-CN"/>
        </w:rPr>
        <w:t>第4条  双方的一般权利和义务</w:t>
      </w:r>
      <w:bookmarkEnd w:id="48"/>
      <w:bookmarkEnd w:id="49"/>
      <w:bookmarkEnd w:id="50"/>
    </w:p>
    <w:p>
      <w:pPr>
        <w:pStyle w:val="3"/>
        <w:keepNext w:val="0"/>
        <w:keepLines w:val="0"/>
        <w:widowControl w:val="0"/>
        <w:numPr>
          <w:ilvl w:val="0"/>
          <w:numId w:val="0"/>
        </w:numPr>
        <w:rPr>
          <w:rFonts w:ascii="Times New Roman" w:hAnsi="Times New Roman"/>
        </w:rPr>
      </w:pPr>
      <w:bookmarkStart w:id="51" w:name="_Toc482120681"/>
      <w:bookmarkStart w:id="52" w:name="_Toc68593518"/>
      <w:r>
        <w:rPr>
          <w:rFonts w:ascii="Times New Roman" w:hAnsi="Times New Roman"/>
        </w:rPr>
        <w:t>4.1  甲方的一般权利</w:t>
      </w:r>
      <w:bookmarkEnd w:id="51"/>
      <w:bookmarkEnd w:id="52"/>
    </w:p>
    <w:p>
      <w:pPr>
        <w:pStyle w:val="4"/>
        <w:keepNext w:val="0"/>
        <w:numPr>
          <w:ilvl w:val="0"/>
          <w:numId w:val="0"/>
        </w:numPr>
        <w:ind w:firstLine="560" w:firstLineChars="200"/>
        <w:rPr>
          <w:rFonts w:ascii="Times New Roman" w:hAnsi="Times New Roman"/>
        </w:rPr>
      </w:pPr>
      <w:r>
        <w:rPr>
          <w:rFonts w:ascii="Times New Roman" w:hAnsi="Times New Roman"/>
        </w:rPr>
        <w:t>4.1.1在遵守、符合适用法律要求的前提下，甲方有权对乙方1履行本合同项下的义务进行监督和检查，但甲方并不因其承担有关监督、检查工作而承担任何责任，且并不免除或减轻乙方1应承担的义务或责任。</w:t>
      </w:r>
    </w:p>
    <w:p>
      <w:pPr>
        <w:pStyle w:val="4"/>
        <w:keepNext w:val="0"/>
        <w:numPr>
          <w:ilvl w:val="0"/>
          <w:numId w:val="0"/>
        </w:numPr>
        <w:ind w:firstLine="560" w:firstLineChars="200"/>
        <w:rPr>
          <w:rFonts w:ascii="Times New Roman" w:hAnsi="Times New Roman"/>
        </w:rPr>
      </w:pPr>
      <w:r>
        <w:rPr>
          <w:rFonts w:ascii="Times New Roman" w:hAnsi="Times New Roman"/>
        </w:rPr>
        <w:t>4.1.2甲方在项目建设期和运营期内向乙方1派驻监管部门，对乙方1的履约情况进行监管，具体将按照省交通运输厅出台的PPP项目管理办法等相关规定执行。</w:t>
      </w:r>
    </w:p>
    <w:p>
      <w:pPr>
        <w:pStyle w:val="4"/>
        <w:keepNext w:val="0"/>
        <w:numPr>
          <w:ilvl w:val="0"/>
          <w:numId w:val="0"/>
        </w:numPr>
        <w:ind w:firstLine="560" w:firstLineChars="200"/>
        <w:rPr>
          <w:rFonts w:ascii="Times New Roman" w:hAnsi="Times New Roman"/>
        </w:rPr>
      </w:pPr>
      <w:r>
        <w:rPr>
          <w:rFonts w:ascii="Times New Roman" w:hAnsi="Times New Roman"/>
        </w:rPr>
        <w:t>4.1.3甲方作为本项目实施机构，还应在特许经营期内，行使其法定的和合同约定的监管职责，定期对乙方1项目设施的建设、运营情况进行全面的评估和考核，部分监管职责可交由甲方派驻的监管部门具体实施。</w:t>
      </w:r>
    </w:p>
    <w:p>
      <w:pPr>
        <w:pStyle w:val="4"/>
        <w:keepNext w:val="0"/>
        <w:numPr>
          <w:ilvl w:val="0"/>
          <w:numId w:val="0"/>
        </w:numPr>
        <w:ind w:firstLine="560" w:firstLineChars="200"/>
        <w:rPr>
          <w:rFonts w:ascii="Times New Roman" w:hAnsi="Times New Roman"/>
        </w:rPr>
      </w:pPr>
      <w:r>
        <w:rPr>
          <w:rFonts w:ascii="Times New Roman" w:hAnsi="Times New Roman"/>
        </w:rPr>
        <w:t>4.1.4在建设期内，甲方有权对本合同中约定的主行车车道数量增加、新增连接线、新增互通立交、连接线等级标准提高等工程规模扩大或技术标准提高，由此导致工程投资增加，增加部分由甲方承担；除此之外，增加的工程投资，由乙方1承担。</w:t>
      </w:r>
    </w:p>
    <w:p>
      <w:pPr>
        <w:pStyle w:val="4"/>
        <w:keepNext w:val="0"/>
        <w:numPr>
          <w:ilvl w:val="0"/>
          <w:numId w:val="0"/>
        </w:numPr>
        <w:ind w:firstLine="560" w:firstLineChars="200"/>
        <w:rPr>
          <w:rFonts w:ascii="Times New Roman" w:hAnsi="Times New Roman"/>
        </w:rPr>
      </w:pPr>
      <w:r>
        <w:rPr>
          <w:rFonts w:ascii="Times New Roman" w:hAnsi="Times New Roman"/>
        </w:rPr>
        <w:t>4.1.5按本合同约定兑取履约保证金的权利。</w:t>
      </w:r>
    </w:p>
    <w:p>
      <w:pPr>
        <w:pStyle w:val="4"/>
        <w:keepNext w:val="0"/>
        <w:numPr>
          <w:ilvl w:val="0"/>
          <w:numId w:val="0"/>
        </w:numPr>
        <w:ind w:firstLine="560" w:firstLineChars="200"/>
        <w:rPr>
          <w:rFonts w:ascii="Times New Roman" w:hAnsi="Times New Roman"/>
        </w:rPr>
      </w:pPr>
      <w:r>
        <w:rPr>
          <w:rFonts w:ascii="Times New Roman" w:hAnsi="Times New Roman"/>
        </w:rPr>
        <w:t>4.1.6对乙方1是否遵守本合同的监督检查权及对建设、运营维护的介入权。</w:t>
      </w:r>
    </w:p>
    <w:p>
      <w:pPr>
        <w:pStyle w:val="4"/>
        <w:keepNext w:val="0"/>
        <w:numPr>
          <w:ilvl w:val="0"/>
          <w:numId w:val="0"/>
        </w:numPr>
        <w:ind w:firstLine="560" w:firstLineChars="200"/>
        <w:rPr>
          <w:rFonts w:ascii="Times New Roman" w:hAnsi="Times New Roman"/>
        </w:rPr>
      </w:pPr>
      <w:bookmarkStart w:id="53" w:name="page27"/>
      <w:bookmarkEnd w:id="53"/>
      <w:r>
        <w:rPr>
          <w:rFonts w:ascii="Times New Roman" w:hAnsi="Times New Roman"/>
        </w:rPr>
        <w:t>4.1.7甲方有权定期对乙方1的财务状况、经营成果进行审计。</w:t>
      </w:r>
    </w:p>
    <w:p>
      <w:pPr>
        <w:pStyle w:val="4"/>
        <w:keepNext w:val="0"/>
        <w:numPr>
          <w:ilvl w:val="0"/>
          <w:numId w:val="0"/>
        </w:numPr>
        <w:ind w:firstLine="560" w:firstLineChars="200"/>
        <w:rPr>
          <w:rFonts w:ascii="Times New Roman" w:hAnsi="Times New Roman"/>
        </w:rPr>
      </w:pPr>
      <w:r>
        <w:rPr>
          <w:rFonts w:ascii="Times New Roman" w:hAnsi="Times New Roman"/>
        </w:rPr>
        <w:t>4.1.8在乙方1违反本合同有关规定的情况下，甲方有权根据本合同约定获得赔偿。</w:t>
      </w:r>
    </w:p>
    <w:p>
      <w:pPr>
        <w:pStyle w:val="4"/>
        <w:keepNext w:val="0"/>
        <w:numPr>
          <w:ilvl w:val="0"/>
          <w:numId w:val="0"/>
        </w:numPr>
        <w:ind w:firstLine="560" w:firstLineChars="200"/>
        <w:rPr>
          <w:rFonts w:ascii="Times New Roman" w:hAnsi="Times New Roman"/>
        </w:rPr>
      </w:pPr>
      <w:r>
        <w:rPr>
          <w:rFonts w:ascii="Times New Roman" w:hAnsi="Times New Roman"/>
        </w:rPr>
        <w:t>4.1.9乙方1如出现实质性违约行为，致使合同目的不能实现的，甲方有权责令其限期改正，或依法采取措施督促其履行义务；逾期不改正的，有权终止本合同，收回本项目特许经营权。</w:t>
      </w:r>
    </w:p>
    <w:p>
      <w:pPr>
        <w:pStyle w:val="4"/>
        <w:keepNext w:val="0"/>
        <w:numPr>
          <w:ilvl w:val="0"/>
          <w:numId w:val="0"/>
        </w:numPr>
        <w:ind w:firstLine="560" w:firstLineChars="200"/>
        <w:rPr>
          <w:rFonts w:ascii="Times New Roman" w:hAnsi="Times New Roman"/>
        </w:rPr>
      </w:pPr>
      <w:r>
        <w:rPr>
          <w:rFonts w:ascii="Times New Roman" w:hAnsi="Times New Roman"/>
        </w:rPr>
        <w:t>4.1.10在特许经营期届满，无偿取得项目的所有相关权益。</w:t>
      </w:r>
    </w:p>
    <w:p>
      <w:pPr>
        <w:pStyle w:val="4"/>
        <w:keepNext w:val="0"/>
        <w:numPr>
          <w:ilvl w:val="0"/>
          <w:numId w:val="0"/>
        </w:numPr>
        <w:ind w:firstLine="560" w:firstLineChars="200"/>
        <w:rPr>
          <w:rFonts w:ascii="Times New Roman" w:hAnsi="Times New Roman"/>
        </w:rPr>
      </w:pPr>
      <w:r>
        <w:rPr>
          <w:rFonts w:ascii="Times New Roman" w:hAnsi="Times New Roman"/>
        </w:rPr>
        <w:t>4.1.11甲方有权享有适用法律和本合同规定的其它权利。</w:t>
      </w:r>
    </w:p>
    <w:p>
      <w:pPr>
        <w:pStyle w:val="3"/>
        <w:keepNext w:val="0"/>
        <w:keepLines w:val="0"/>
        <w:widowControl w:val="0"/>
        <w:numPr>
          <w:ilvl w:val="0"/>
          <w:numId w:val="0"/>
        </w:numPr>
        <w:rPr>
          <w:rFonts w:ascii="Times New Roman" w:hAnsi="Times New Roman"/>
        </w:rPr>
      </w:pPr>
      <w:bookmarkStart w:id="54" w:name="_Toc482120682"/>
      <w:bookmarkStart w:id="55" w:name="_Toc68593519"/>
      <w:r>
        <w:rPr>
          <w:rFonts w:ascii="Times New Roman" w:hAnsi="Times New Roman"/>
        </w:rPr>
        <w:t>4.2 甲方的一般义务</w:t>
      </w:r>
      <w:bookmarkEnd w:id="54"/>
      <w:bookmarkEnd w:id="55"/>
    </w:p>
    <w:p>
      <w:pPr>
        <w:pStyle w:val="4"/>
        <w:keepNext w:val="0"/>
        <w:numPr>
          <w:ilvl w:val="0"/>
          <w:numId w:val="0"/>
        </w:numPr>
        <w:ind w:firstLine="560" w:firstLineChars="200"/>
        <w:rPr>
          <w:rFonts w:ascii="Times New Roman" w:hAnsi="Times New Roman"/>
        </w:rPr>
      </w:pPr>
      <w:r>
        <w:rPr>
          <w:rFonts w:ascii="Times New Roman" w:hAnsi="Times New Roman"/>
        </w:rPr>
        <w:t>4.2.1甲方应始终遵守所有的适用法律和本合同的规定。</w:t>
      </w:r>
    </w:p>
    <w:p>
      <w:pPr>
        <w:pStyle w:val="4"/>
        <w:keepNext w:val="0"/>
        <w:numPr>
          <w:ilvl w:val="0"/>
          <w:numId w:val="0"/>
        </w:numPr>
        <w:ind w:firstLine="560" w:firstLineChars="200"/>
        <w:rPr>
          <w:rFonts w:ascii="Times New Roman" w:hAnsi="Times New Roman"/>
        </w:rPr>
      </w:pPr>
      <w:r>
        <w:rPr>
          <w:rFonts w:ascii="Times New Roman" w:hAnsi="Times New Roman"/>
        </w:rPr>
        <w:t>4.2.2除适用法律或本合同有特殊规定外，甲方应保持乙方1的特许经营权在整个特许经营期内始终有效，维护特许经营权的完整性和独占性，特许经营期内不以任何方式将特许经营权授予第三者或终止特许经营权，或者以任何方式减少特许经营权的内容或妨碍特许经营权的行使，但因乙方1或乙方2造成的除外。</w:t>
      </w:r>
    </w:p>
    <w:p>
      <w:pPr>
        <w:pStyle w:val="4"/>
        <w:keepNext w:val="0"/>
        <w:numPr>
          <w:ilvl w:val="0"/>
          <w:numId w:val="0"/>
        </w:numPr>
        <w:ind w:firstLine="560" w:firstLineChars="200"/>
        <w:rPr>
          <w:rFonts w:ascii="Times New Roman" w:hAnsi="Times New Roman"/>
        </w:rPr>
      </w:pPr>
      <w:r>
        <w:rPr>
          <w:rFonts w:ascii="Times New Roman" w:hAnsi="Times New Roman"/>
        </w:rPr>
        <w:t>4.2.3在乙方1提出合理的要求的前提下，甲方应尽最大努力协助其从有关政府部门获得、保持和续延本项目所需的应由乙方1办理的许可、执照和批准。</w:t>
      </w:r>
    </w:p>
    <w:p>
      <w:pPr>
        <w:pStyle w:val="4"/>
        <w:keepNext w:val="0"/>
        <w:numPr>
          <w:ilvl w:val="0"/>
          <w:numId w:val="0"/>
        </w:numPr>
        <w:ind w:firstLine="560" w:firstLineChars="200"/>
        <w:rPr>
          <w:rFonts w:ascii="Times New Roman" w:hAnsi="Times New Roman"/>
        </w:rPr>
      </w:pPr>
      <w:r>
        <w:rPr>
          <w:rFonts w:ascii="Times New Roman" w:hAnsi="Times New Roman"/>
        </w:rPr>
        <w:t>4.2.4甲方应允许乙方1在运营期内按照相关规定合法收取车辆通行费、合法取得广告、服务区设施等经营收入。</w:t>
      </w:r>
    </w:p>
    <w:p>
      <w:pPr>
        <w:pStyle w:val="4"/>
        <w:keepNext w:val="0"/>
        <w:numPr>
          <w:ilvl w:val="0"/>
          <w:numId w:val="0"/>
        </w:numPr>
        <w:ind w:firstLine="560" w:firstLineChars="200"/>
        <w:rPr>
          <w:rFonts w:ascii="Times New Roman" w:hAnsi="Times New Roman"/>
        </w:rPr>
      </w:pPr>
      <w:r>
        <w:rPr>
          <w:rFonts w:ascii="Times New Roman" w:hAnsi="Times New Roman"/>
        </w:rPr>
        <w:t>4.2.5在投资协议和本合同约定的提前终止条件成立后，甲方应接收项目设施，并按本合同第16条款的约定向乙方1支付补偿。</w:t>
      </w:r>
    </w:p>
    <w:p>
      <w:pPr>
        <w:pStyle w:val="4"/>
        <w:keepNext w:val="0"/>
        <w:numPr>
          <w:ilvl w:val="0"/>
          <w:numId w:val="0"/>
        </w:numPr>
        <w:ind w:firstLine="560" w:firstLineChars="200"/>
        <w:rPr>
          <w:rFonts w:ascii="Times New Roman" w:hAnsi="Times New Roman"/>
        </w:rPr>
      </w:pPr>
      <w:r>
        <w:rPr>
          <w:rFonts w:ascii="Times New Roman" w:hAnsi="Times New Roman"/>
        </w:rPr>
        <w:t>4.2.6甲方应根据本合同约定接收项目设施及相关资料。</w:t>
      </w:r>
      <w:bookmarkStart w:id="56" w:name="page28"/>
      <w:bookmarkEnd w:id="56"/>
    </w:p>
    <w:p>
      <w:pPr>
        <w:pStyle w:val="4"/>
        <w:keepNext w:val="0"/>
        <w:numPr>
          <w:ilvl w:val="0"/>
          <w:numId w:val="0"/>
        </w:numPr>
        <w:ind w:firstLine="560" w:firstLineChars="200"/>
        <w:rPr>
          <w:rFonts w:ascii="Times New Roman" w:hAnsi="Times New Roman"/>
        </w:rPr>
      </w:pPr>
      <w:r>
        <w:rPr>
          <w:rFonts w:ascii="Times New Roman" w:hAnsi="Times New Roman"/>
        </w:rPr>
        <w:t>4.2.7在本项目未达到设计通行能力或未出现长期严重堵塞的情况下，甲方将严格控制审批建设本项目两侧25公里范围内全程并行的高速公路。</w:t>
      </w:r>
    </w:p>
    <w:p>
      <w:pPr>
        <w:pStyle w:val="3"/>
        <w:keepNext w:val="0"/>
        <w:keepLines w:val="0"/>
        <w:widowControl w:val="0"/>
        <w:numPr>
          <w:ilvl w:val="0"/>
          <w:numId w:val="0"/>
        </w:numPr>
        <w:rPr>
          <w:rFonts w:ascii="Times New Roman" w:hAnsi="Times New Roman"/>
        </w:rPr>
      </w:pPr>
      <w:bookmarkStart w:id="57" w:name="_Toc68593520"/>
      <w:bookmarkStart w:id="58" w:name="_Toc482120683"/>
      <w:r>
        <w:rPr>
          <w:rFonts w:ascii="Times New Roman" w:hAnsi="Times New Roman"/>
        </w:rPr>
        <w:t>4.3  乙方1的一般权利</w:t>
      </w:r>
      <w:bookmarkEnd w:id="57"/>
      <w:bookmarkEnd w:id="58"/>
    </w:p>
    <w:p>
      <w:pPr>
        <w:pStyle w:val="4"/>
        <w:keepNext w:val="0"/>
        <w:numPr>
          <w:ilvl w:val="0"/>
          <w:numId w:val="0"/>
        </w:numPr>
        <w:ind w:firstLine="560" w:firstLineChars="200"/>
        <w:rPr>
          <w:rFonts w:ascii="Times New Roman" w:hAnsi="Times New Roman"/>
        </w:rPr>
      </w:pPr>
      <w:r>
        <w:rPr>
          <w:rFonts w:ascii="Times New Roman" w:hAnsi="Times New Roman"/>
        </w:rPr>
        <w:t>4.3.1乙方1有权依照本合同第2.1条款的约定在运营期内合法收取车辆通行费、合法取得广告、服务区设施等经营收入。</w:t>
      </w:r>
    </w:p>
    <w:p>
      <w:pPr>
        <w:pStyle w:val="4"/>
        <w:keepNext w:val="0"/>
        <w:numPr>
          <w:ilvl w:val="0"/>
          <w:numId w:val="0"/>
        </w:numPr>
        <w:ind w:firstLine="560" w:firstLineChars="200"/>
        <w:rPr>
          <w:rFonts w:ascii="Times New Roman" w:hAnsi="Times New Roman"/>
        </w:rPr>
      </w:pPr>
      <w:r>
        <w:rPr>
          <w:rFonts w:ascii="Times New Roman" w:hAnsi="Times New Roman"/>
        </w:rPr>
        <w:t>4.3.2在甲方违反本合同有关规定的情况下，乙方1有权根据本合同约定申请赔偿。</w:t>
      </w:r>
    </w:p>
    <w:p>
      <w:pPr>
        <w:pStyle w:val="4"/>
        <w:keepNext w:val="0"/>
        <w:numPr>
          <w:ilvl w:val="0"/>
          <w:numId w:val="0"/>
        </w:numPr>
        <w:ind w:firstLine="560" w:firstLineChars="200"/>
        <w:rPr>
          <w:rFonts w:ascii="Times New Roman" w:hAnsi="Times New Roman"/>
        </w:rPr>
      </w:pPr>
      <w:r>
        <w:rPr>
          <w:rFonts w:ascii="Times New Roman" w:hAnsi="Times New Roman"/>
        </w:rPr>
        <w:t>4.3.3乙方1有权依法享受本项目适用的各项减、免税和优惠政策，甲方和乙方共同积极争取国家、省、市、县等政府补助资金，但甲方对包括车购税在内的政府补助资金不做任何承诺。</w:t>
      </w:r>
    </w:p>
    <w:p>
      <w:pPr>
        <w:pStyle w:val="3"/>
        <w:keepNext w:val="0"/>
        <w:keepLines w:val="0"/>
        <w:widowControl w:val="0"/>
        <w:numPr>
          <w:ilvl w:val="0"/>
          <w:numId w:val="0"/>
        </w:numPr>
        <w:rPr>
          <w:rFonts w:ascii="Times New Roman" w:hAnsi="Times New Roman"/>
        </w:rPr>
      </w:pPr>
      <w:bookmarkStart w:id="59" w:name="_Toc68593521"/>
      <w:bookmarkStart w:id="60" w:name="_Toc482120684"/>
      <w:r>
        <w:rPr>
          <w:rFonts w:ascii="Times New Roman" w:hAnsi="Times New Roman"/>
        </w:rPr>
        <w:t>4.4  乙方1的一般义务</w:t>
      </w:r>
      <w:bookmarkEnd w:id="59"/>
      <w:bookmarkEnd w:id="60"/>
    </w:p>
    <w:p>
      <w:pPr>
        <w:pStyle w:val="4"/>
        <w:keepNext w:val="0"/>
        <w:numPr>
          <w:ilvl w:val="0"/>
          <w:numId w:val="0"/>
        </w:numPr>
        <w:ind w:firstLine="560" w:firstLineChars="200"/>
        <w:rPr>
          <w:rFonts w:ascii="Times New Roman" w:hAnsi="Times New Roman"/>
        </w:rPr>
      </w:pPr>
      <w:r>
        <w:rPr>
          <w:rFonts w:ascii="Times New Roman" w:hAnsi="Times New Roman"/>
        </w:rPr>
        <w:t>4.4.1乙方1应承担施工现场场地的准备工作。</w:t>
      </w:r>
    </w:p>
    <w:p>
      <w:pPr>
        <w:pStyle w:val="4"/>
        <w:keepNext w:val="0"/>
        <w:numPr>
          <w:ilvl w:val="0"/>
          <w:numId w:val="0"/>
        </w:numPr>
        <w:ind w:firstLine="560" w:firstLineChars="200"/>
        <w:rPr>
          <w:rFonts w:ascii="Times New Roman" w:hAnsi="Times New Roman"/>
        </w:rPr>
      </w:pPr>
      <w:r>
        <w:rPr>
          <w:rFonts w:ascii="Times New Roman" w:hAnsi="Times New Roman"/>
        </w:rPr>
        <w:t>4.4.2乙方1在项目建设过程中负责协调相关部门，负责办理相关建设手续。</w:t>
      </w:r>
    </w:p>
    <w:p>
      <w:pPr>
        <w:pStyle w:val="4"/>
        <w:keepNext w:val="0"/>
        <w:numPr>
          <w:ilvl w:val="0"/>
          <w:numId w:val="0"/>
        </w:numPr>
        <w:ind w:firstLine="560" w:firstLineChars="200"/>
        <w:rPr>
          <w:rFonts w:ascii="Times New Roman" w:hAnsi="Times New Roman"/>
        </w:rPr>
      </w:pPr>
      <w:r>
        <w:rPr>
          <w:rFonts w:ascii="Times New Roman" w:hAnsi="Times New Roman"/>
        </w:rPr>
        <w:t>4.4.3乙方1应从有关政府部门获得、保持和续延本项目所必需的应由乙方1和乙方2办理的许可、执照和批准，相关费用由乙方1承担并支付，计入项目总投资。</w:t>
      </w:r>
    </w:p>
    <w:p>
      <w:pPr>
        <w:pStyle w:val="4"/>
        <w:keepNext w:val="0"/>
        <w:numPr>
          <w:ilvl w:val="0"/>
          <w:numId w:val="0"/>
        </w:numPr>
        <w:ind w:firstLine="560" w:firstLineChars="200"/>
        <w:rPr>
          <w:rFonts w:ascii="Times New Roman" w:hAnsi="Times New Roman"/>
        </w:rPr>
      </w:pPr>
      <w:r>
        <w:rPr>
          <w:rFonts w:ascii="Times New Roman" w:hAnsi="Times New Roman"/>
        </w:rPr>
        <w:t>4.4.4乙方1应负责投入、筹集本项目工程建设资金，并确保投入资金能够满足本项目实施的需要。如本项目工程投资增加，乙方2应追加项目资本金，并确保乙方1足额筹集所需追加的项目融资。</w:t>
      </w:r>
    </w:p>
    <w:p>
      <w:pPr>
        <w:pStyle w:val="4"/>
        <w:keepNext w:val="0"/>
        <w:numPr>
          <w:ilvl w:val="0"/>
          <w:numId w:val="0"/>
        </w:numPr>
        <w:ind w:firstLine="560" w:firstLineChars="200"/>
        <w:rPr>
          <w:rFonts w:ascii="Times New Roman" w:hAnsi="Times New Roman"/>
        </w:rPr>
      </w:pPr>
      <w:r>
        <w:rPr>
          <w:rFonts w:ascii="Times New Roman" w:hAnsi="Times New Roman"/>
        </w:rPr>
        <w:t>4.4.5乙方1在工程项目建设中，严禁将工程项目转包、违法分包；允许合法分包，分包的范围仅限于中标项目的部分非主体结构工程，严禁分包单位将其承包的工程再次分包。</w:t>
      </w:r>
    </w:p>
    <w:p>
      <w:pPr>
        <w:pStyle w:val="4"/>
        <w:keepNext w:val="0"/>
        <w:numPr>
          <w:ilvl w:val="0"/>
          <w:numId w:val="0"/>
        </w:numPr>
        <w:ind w:firstLine="560" w:firstLineChars="200"/>
        <w:rPr>
          <w:rFonts w:ascii="Times New Roman" w:hAnsi="Times New Roman"/>
        </w:rPr>
      </w:pPr>
      <w:r>
        <w:rPr>
          <w:rFonts w:ascii="Times New Roman" w:hAnsi="Times New Roman"/>
        </w:rPr>
        <w:t>4.4.6 乙方1应完成为满足甲方的要求或本合同约定的义务而产生的工作。</w:t>
      </w:r>
    </w:p>
    <w:p>
      <w:pPr>
        <w:pStyle w:val="4"/>
        <w:keepNext w:val="0"/>
        <w:numPr>
          <w:ilvl w:val="0"/>
          <w:numId w:val="0"/>
        </w:numPr>
        <w:ind w:firstLine="560" w:firstLineChars="200"/>
        <w:rPr>
          <w:rFonts w:ascii="Times New Roman" w:hAnsi="Times New Roman"/>
        </w:rPr>
      </w:pPr>
      <w:bookmarkStart w:id="61" w:name="page29"/>
      <w:bookmarkEnd w:id="61"/>
      <w:r>
        <w:rPr>
          <w:rFonts w:ascii="Times New Roman" w:hAnsi="Times New Roman"/>
        </w:rPr>
        <w:t>4.4.7乙方1应在约定交工日前完成本项目，按照交通运输部出台的竣（交）工验收相关规定按期完成竣（交）工验收，并负责解决验收中工程质量问题。</w:t>
      </w:r>
    </w:p>
    <w:p>
      <w:pPr>
        <w:pStyle w:val="4"/>
        <w:keepNext w:val="0"/>
        <w:numPr>
          <w:ilvl w:val="0"/>
          <w:numId w:val="0"/>
        </w:numPr>
        <w:ind w:firstLine="560" w:firstLineChars="200"/>
        <w:rPr>
          <w:rFonts w:ascii="Times New Roman" w:hAnsi="Times New Roman"/>
        </w:rPr>
      </w:pPr>
      <w:r>
        <w:rPr>
          <w:rFonts w:ascii="Times New Roman" w:hAnsi="Times New Roman"/>
        </w:rPr>
        <w:t>4.4.8自行承担因自身原因造成的工程建设投资超过初步设计概算带来的超额投资和运营成本增加。</w:t>
      </w:r>
    </w:p>
    <w:p>
      <w:pPr>
        <w:pStyle w:val="4"/>
        <w:keepNext w:val="0"/>
        <w:numPr>
          <w:ilvl w:val="0"/>
          <w:numId w:val="0"/>
        </w:numPr>
        <w:ind w:firstLine="560" w:firstLineChars="200"/>
        <w:rPr>
          <w:rFonts w:ascii="Times New Roman" w:hAnsi="Times New Roman"/>
        </w:rPr>
      </w:pPr>
      <w:r>
        <w:rPr>
          <w:rFonts w:ascii="Times New Roman" w:hAnsi="Times New Roman"/>
        </w:rPr>
        <w:t>4.4.9乙方1应对全部现场作业、所有施工方法以及全部工程的完备性、稳定性和安全性等承担相应责任。</w:t>
      </w:r>
    </w:p>
    <w:p>
      <w:pPr>
        <w:pStyle w:val="4"/>
        <w:keepNext w:val="0"/>
        <w:numPr>
          <w:ilvl w:val="0"/>
          <w:numId w:val="0"/>
        </w:numPr>
        <w:ind w:firstLine="560" w:firstLineChars="200"/>
        <w:rPr>
          <w:rFonts w:ascii="Times New Roman" w:hAnsi="Times New Roman"/>
        </w:rPr>
      </w:pPr>
      <w:r>
        <w:rPr>
          <w:rFonts w:ascii="Times New Roman" w:hAnsi="Times New Roman"/>
        </w:rPr>
        <w:t>4.4.10特许经营期内，乙方1应按适用法律和谨慎运营原则购买和维持本项目有关的保险。</w:t>
      </w:r>
    </w:p>
    <w:p>
      <w:pPr>
        <w:pStyle w:val="4"/>
        <w:keepNext w:val="0"/>
        <w:numPr>
          <w:ilvl w:val="0"/>
          <w:numId w:val="0"/>
        </w:numPr>
        <w:ind w:firstLine="560" w:firstLineChars="200"/>
        <w:rPr>
          <w:rFonts w:ascii="Times New Roman" w:hAnsi="Times New Roman"/>
        </w:rPr>
      </w:pPr>
      <w:r>
        <w:rPr>
          <w:rFonts w:ascii="Times New Roman" w:hAnsi="Times New Roman"/>
        </w:rPr>
        <w:t>4.4.11乙方1应保证为本项目签订的工程文件、融资文件符合适用法律，并与投资协议及本合同不相抵触。</w:t>
      </w:r>
    </w:p>
    <w:p>
      <w:pPr>
        <w:pStyle w:val="4"/>
        <w:keepNext w:val="0"/>
        <w:numPr>
          <w:ilvl w:val="0"/>
          <w:numId w:val="0"/>
        </w:numPr>
        <w:ind w:firstLine="560" w:firstLineChars="200"/>
        <w:rPr>
          <w:rFonts w:ascii="Times New Roman" w:hAnsi="Times New Roman"/>
        </w:rPr>
      </w:pPr>
      <w:r>
        <w:rPr>
          <w:rFonts w:ascii="Times New Roman" w:hAnsi="Times New Roman"/>
        </w:rPr>
        <w:t>4.4.12乙方1应保障项目交工通车后，各项相关服务设施同步启用，且需达到预定的服务水平。</w:t>
      </w:r>
    </w:p>
    <w:p>
      <w:pPr>
        <w:pStyle w:val="4"/>
        <w:keepNext w:val="0"/>
        <w:numPr>
          <w:ilvl w:val="0"/>
          <w:numId w:val="0"/>
        </w:numPr>
        <w:ind w:firstLine="560" w:firstLineChars="200"/>
        <w:rPr>
          <w:rFonts w:ascii="Times New Roman" w:hAnsi="Times New Roman"/>
        </w:rPr>
      </w:pPr>
      <w:r>
        <w:rPr>
          <w:rFonts w:ascii="Times New Roman" w:hAnsi="Times New Roman"/>
        </w:rPr>
        <w:t>4.4.13乙方1应按国家和陕西省高速公路联网收费运营管理及信息公开相关规定，按期报送运营报表和公开收费信息，接受行业统一监管。</w:t>
      </w:r>
    </w:p>
    <w:p>
      <w:pPr>
        <w:pStyle w:val="4"/>
        <w:keepNext w:val="0"/>
        <w:numPr>
          <w:ilvl w:val="0"/>
          <w:numId w:val="0"/>
        </w:numPr>
        <w:ind w:firstLine="560" w:firstLineChars="200"/>
        <w:rPr>
          <w:rFonts w:ascii="Times New Roman" w:hAnsi="Times New Roman"/>
        </w:rPr>
      </w:pPr>
      <w:r>
        <w:rPr>
          <w:rFonts w:ascii="Times New Roman" w:hAnsi="Times New Roman"/>
        </w:rPr>
        <w:t>4.4.14乙方1应确保按照本合同约定履行运营维护、移交义务。</w:t>
      </w:r>
    </w:p>
    <w:p>
      <w:pPr>
        <w:pStyle w:val="4"/>
        <w:keepNext w:val="0"/>
        <w:numPr>
          <w:ilvl w:val="0"/>
          <w:numId w:val="0"/>
        </w:numPr>
        <w:ind w:firstLine="560" w:firstLineChars="200"/>
        <w:rPr>
          <w:rFonts w:ascii="Times New Roman" w:hAnsi="Times New Roman"/>
        </w:rPr>
      </w:pPr>
      <w:r>
        <w:rPr>
          <w:rFonts w:ascii="Times New Roman" w:hAnsi="Times New Roman"/>
        </w:rPr>
        <w:t>4.4.15工程实施过程中的重大问题应及时向甲方及有关部门汇报。</w:t>
      </w:r>
    </w:p>
    <w:p>
      <w:pPr>
        <w:pStyle w:val="4"/>
        <w:keepNext w:val="0"/>
        <w:numPr>
          <w:ilvl w:val="0"/>
          <w:numId w:val="0"/>
        </w:numPr>
        <w:ind w:firstLine="560" w:firstLineChars="200"/>
        <w:rPr>
          <w:rFonts w:ascii="Times New Roman" w:hAnsi="Times New Roman"/>
        </w:rPr>
      </w:pPr>
      <w:r>
        <w:rPr>
          <w:rFonts w:ascii="Times New Roman" w:hAnsi="Times New Roman"/>
        </w:rPr>
        <w:t>4.4.16乙方1应自行承担因自身原因造成的相关机构对其进行的行政处罚。</w:t>
      </w:r>
    </w:p>
    <w:p>
      <w:pPr>
        <w:pStyle w:val="4"/>
        <w:keepNext w:val="0"/>
        <w:numPr>
          <w:ilvl w:val="0"/>
          <w:numId w:val="0"/>
        </w:numPr>
        <w:ind w:firstLine="560" w:firstLineChars="200"/>
        <w:rPr>
          <w:rFonts w:ascii="Times New Roman" w:hAnsi="Times New Roman"/>
        </w:rPr>
      </w:pPr>
      <w:r>
        <w:rPr>
          <w:rFonts w:ascii="Times New Roman" w:hAnsi="Times New Roman"/>
        </w:rPr>
        <w:t>4.4.17乙方1须独立进行项目财务核算和资金管理，乙方1资本公积的减少不得快于固定资产折旧和无形资产摊销的速度。</w:t>
      </w:r>
    </w:p>
    <w:p>
      <w:pPr>
        <w:pStyle w:val="4"/>
        <w:keepNext w:val="0"/>
        <w:numPr>
          <w:ilvl w:val="0"/>
          <w:numId w:val="0"/>
        </w:numPr>
        <w:ind w:firstLine="560" w:firstLineChars="200"/>
        <w:rPr>
          <w:rFonts w:ascii="Times New Roman" w:hAnsi="Times New Roman"/>
        </w:rPr>
      </w:pPr>
      <w:r>
        <w:rPr>
          <w:rFonts w:ascii="Times New Roman" w:hAnsi="Times New Roman"/>
        </w:rPr>
        <w:t>4.4.18乙方1应接受甲方和相关政府部门根据适用法律和投资协议及本合同的规定对乙方1及乙方2对本项目的建设、管理和养护工作进行监督管理，并提供相应的工作条件，同时应根据投资协议及本合同以及甲方和相关政府部门的要求，及时向其报送有关资料。</w:t>
      </w:r>
    </w:p>
    <w:p>
      <w:pPr>
        <w:pStyle w:val="4"/>
        <w:keepNext w:val="0"/>
        <w:numPr>
          <w:ilvl w:val="0"/>
          <w:numId w:val="0"/>
        </w:numPr>
        <w:ind w:firstLine="560" w:firstLineChars="200"/>
        <w:rPr>
          <w:rFonts w:ascii="Times New Roman" w:hAnsi="Times New Roman"/>
        </w:rPr>
      </w:pPr>
      <w:r>
        <w:rPr>
          <w:rFonts w:ascii="Times New Roman" w:hAnsi="Times New Roman"/>
        </w:rPr>
        <w:t>4.4.19乙方1应按照本合同规定实施本项目，自行承担项目投融资、建设、运营维护和移交产生的风险。</w:t>
      </w:r>
    </w:p>
    <w:p>
      <w:pPr>
        <w:pStyle w:val="2"/>
        <w:keepNext w:val="0"/>
        <w:ind w:right="0" w:rightChars="0"/>
        <w:rPr>
          <w:rFonts w:ascii="Times New Roman" w:hAnsi="Times New Roman"/>
          <w:lang w:eastAsia="zh-CN"/>
        </w:rPr>
      </w:pPr>
      <w:r>
        <w:rPr>
          <w:rFonts w:ascii="Times New Roman" w:hAnsi="Times New Roman"/>
          <w:lang w:eastAsia="zh-CN"/>
        </w:rPr>
        <w:br w:type="page"/>
      </w:r>
      <w:bookmarkStart w:id="62" w:name="page30"/>
      <w:bookmarkEnd w:id="62"/>
      <w:bookmarkStart w:id="63" w:name="_Toc480978641"/>
      <w:bookmarkStart w:id="64" w:name="_Toc482120685"/>
      <w:bookmarkStart w:id="65" w:name="_Toc68593522"/>
      <w:r>
        <w:rPr>
          <w:rFonts w:ascii="Times New Roman" w:hAnsi="Times New Roman"/>
          <w:lang w:eastAsia="zh-CN"/>
        </w:rPr>
        <w:t>第5条  项目前期工作和融资交割</w:t>
      </w:r>
      <w:bookmarkEnd w:id="63"/>
      <w:bookmarkEnd w:id="64"/>
      <w:bookmarkEnd w:id="65"/>
    </w:p>
    <w:p>
      <w:pPr>
        <w:pStyle w:val="3"/>
        <w:keepNext w:val="0"/>
        <w:keepLines w:val="0"/>
        <w:widowControl w:val="0"/>
        <w:numPr>
          <w:ilvl w:val="0"/>
          <w:numId w:val="0"/>
        </w:numPr>
        <w:rPr>
          <w:rFonts w:ascii="Times New Roman" w:hAnsi="Times New Roman"/>
        </w:rPr>
      </w:pPr>
      <w:bookmarkStart w:id="66" w:name="_Toc482120686"/>
      <w:bookmarkStart w:id="67" w:name="_Toc68593523"/>
      <w:r>
        <w:rPr>
          <w:rFonts w:ascii="Times New Roman" w:hAnsi="Times New Roman"/>
        </w:rPr>
        <w:t>5.1  前期工作及前期费用</w:t>
      </w:r>
      <w:bookmarkEnd w:id="66"/>
      <w:bookmarkEnd w:id="67"/>
    </w:p>
    <w:p>
      <w:pPr>
        <w:pStyle w:val="4"/>
        <w:keepNext w:val="0"/>
        <w:numPr>
          <w:ilvl w:val="0"/>
          <w:numId w:val="0"/>
        </w:numPr>
        <w:ind w:firstLine="560" w:firstLineChars="200"/>
        <w:rPr>
          <w:rFonts w:ascii="Times New Roman" w:hAnsi="Times New Roman"/>
        </w:rPr>
      </w:pPr>
      <w:r>
        <w:rPr>
          <w:rFonts w:ascii="Times New Roman" w:hAnsi="Times New Roman"/>
        </w:rPr>
        <w:t>5.1.1本项目的前期手续和审批程序在乙方1成立以前，由陕西省交通投资集团有限公司（简称“交投集团”）办理；乙方1成立以后，由交投集团移交乙方1，并协助乙方1办理变更手续，未上报以及未批复的，移交乙方1继续办理。交投集团为办理项目前期手续和审批程序而签订的合同一并移交乙方1，相应合同条款乙方1须无条件接受。乙方1成立以前甲方或其委托单位已支付的费用（含交投集团成立的前期工作组发生的租房、办公、车辆等前期工作管理费用）均由乙方1承担，并计入项目总投资。具体费用经甲方和乙方1共同协商确定，若协商不成，则以双方共同聘请的有资质第三方审计机构（须在五（5）个工作日内确定；如无法达成一致意见的，由甲方指定审计机构）审计结果为准，审计费用由乙方1承担。乙方1须在甲方提供相关合同、支付依据后十五（15）个工作日内支付至甲方指定账户。</w:t>
      </w:r>
    </w:p>
    <w:p>
      <w:pPr>
        <w:pStyle w:val="4"/>
        <w:keepNext w:val="0"/>
        <w:numPr>
          <w:ilvl w:val="0"/>
          <w:numId w:val="0"/>
        </w:numPr>
        <w:ind w:firstLine="560" w:firstLineChars="200"/>
        <w:rPr>
          <w:rFonts w:ascii="Times New Roman" w:hAnsi="Times New Roman"/>
        </w:rPr>
      </w:pPr>
      <w:r>
        <w:rPr>
          <w:rFonts w:ascii="Times New Roman" w:hAnsi="Times New Roman"/>
        </w:rPr>
        <w:t>5.1.2本合同第5.1.1条款下任何逾期未付款项，应从到期应付之日起至甲方实际收到款项之日止，按违约利率计息。</w:t>
      </w:r>
    </w:p>
    <w:p>
      <w:pPr>
        <w:pStyle w:val="4"/>
        <w:keepNext w:val="0"/>
        <w:numPr>
          <w:ilvl w:val="0"/>
          <w:numId w:val="0"/>
        </w:numPr>
        <w:ind w:firstLine="560" w:firstLineChars="200"/>
        <w:rPr>
          <w:rFonts w:ascii="Times New Roman" w:hAnsi="Times New Roman"/>
        </w:rPr>
      </w:pPr>
      <w:r>
        <w:rPr>
          <w:rFonts w:ascii="Times New Roman" w:hAnsi="Times New Roman"/>
        </w:rPr>
        <w:t>5.1.3若乙方1未按照第5.1.1条款的规定支付前期费用，且在甲方提出要求后一（1）个月内仍未完成，则甲方有权兑取履约保证金的对应金额。</w:t>
      </w:r>
    </w:p>
    <w:p>
      <w:pPr>
        <w:pStyle w:val="4"/>
        <w:keepNext w:val="0"/>
        <w:numPr>
          <w:ilvl w:val="0"/>
          <w:numId w:val="0"/>
        </w:numPr>
        <w:ind w:firstLine="560" w:firstLineChars="200"/>
        <w:rPr>
          <w:rFonts w:ascii="Times New Roman" w:hAnsi="Times New Roman"/>
        </w:rPr>
      </w:pPr>
      <w:r>
        <w:rPr>
          <w:rFonts w:ascii="Times New Roman" w:hAnsi="Times New Roman"/>
        </w:rPr>
        <w:t>5.1.4除本合同第5.1.1条款规定之外的项目工作由乙方1自行负责，并支付相应费用，甲方可提供必要的协助。</w:t>
      </w:r>
    </w:p>
    <w:p>
      <w:pPr>
        <w:pStyle w:val="3"/>
        <w:keepNext w:val="0"/>
        <w:keepLines w:val="0"/>
        <w:widowControl w:val="0"/>
        <w:numPr>
          <w:ilvl w:val="0"/>
          <w:numId w:val="0"/>
        </w:numPr>
        <w:rPr>
          <w:rFonts w:ascii="Times New Roman" w:hAnsi="Times New Roman"/>
        </w:rPr>
      </w:pPr>
      <w:bookmarkStart w:id="68" w:name="page31"/>
      <w:bookmarkEnd w:id="68"/>
      <w:bookmarkStart w:id="69" w:name="_Toc482120687"/>
      <w:bookmarkStart w:id="70" w:name="_Toc68593524"/>
      <w:r>
        <w:rPr>
          <w:rFonts w:ascii="Times New Roman" w:hAnsi="Times New Roman"/>
        </w:rPr>
        <w:t>5.2  融资交割</w:t>
      </w:r>
      <w:bookmarkEnd w:id="69"/>
      <w:bookmarkEnd w:id="70"/>
    </w:p>
    <w:p>
      <w:pPr>
        <w:pStyle w:val="4"/>
        <w:keepNext w:val="0"/>
        <w:numPr>
          <w:ilvl w:val="0"/>
          <w:numId w:val="0"/>
        </w:numPr>
        <w:ind w:firstLine="560" w:firstLineChars="200"/>
        <w:rPr>
          <w:rFonts w:ascii="Times New Roman" w:hAnsi="Times New Roman"/>
        </w:rPr>
      </w:pPr>
      <w:r>
        <w:rPr>
          <w:rFonts w:ascii="Times New Roman" w:hAnsi="Times New Roman"/>
        </w:rPr>
        <w:t>5.2.1乙方1应于项目中标通知书发出后一百八十（180）日内完成融资交割，甲方协助乙方1获得应由甲方提供的项目融资所需文件。</w:t>
      </w:r>
    </w:p>
    <w:p>
      <w:pPr>
        <w:pStyle w:val="4"/>
        <w:keepNext w:val="0"/>
        <w:numPr>
          <w:ilvl w:val="0"/>
          <w:numId w:val="0"/>
        </w:numPr>
        <w:ind w:firstLine="560" w:firstLineChars="200"/>
        <w:rPr>
          <w:rFonts w:ascii="Times New Roman" w:hAnsi="Times New Roman"/>
        </w:rPr>
      </w:pPr>
      <w:r>
        <w:rPr>
          <w:rFonts w:ascii="Times New Roman" w:hAnsi="Times New Roman"/>
        </w:rPr>
        <w:t>5.2.2乙方1在完成融资交割后五（5）个工作日内，应向甲方书面确认融资交割完成，并提交所有已签署的融资文件的复印件，以及甲方合理要求的证明融资交割已实现的任何其他文件。</w:t>
      </w:r>
    </w:p>
    <w:p>
      <w:pPr>
        <w:pStyle w:val="4"/>
        <w:keepNext w:val="0"/>
        <w:numPr>
          <w:ilvl w:val="0"/>
          <w:numId w:val="0"/>
        </w:numPr>
        <w:ind w:firstLine="560" w:firstLineChars="200"/>
        <w:rPr>
          <w:rFonts w:ascii="Times New Roman" w:hAnsi="Times New Roman"/>
        </w:rPr>
      </w:pPr>
      <w:r>
        <w:rPr>
          <w:rFonts w:ascii="Times New Roman" w:hAnsi="Times New Roman"/>
        </w:rPr>
        <w:t>5.2.3若因乙方1原因未能按照本合同第5.2.1条款完成项目融资交割，或在完成融资交割后五（5）个工作日内不能向甲方证明其融资交割完成，则甲方有权兑取建设期履约保证金的全部金额。</w:t>
      </w:r>
    </w:p>
    <w:p>
      <w:pPr>
        <w:pStyle w:val="2"/>
        <w:keepNext w:val="0"/>
        <w:ind w:right="0" w:rightChars="0"/>
        <w:rPr>
          <w:rFonts w:ascii="Times New Roman" w:hAnsi="Times New Roman"/>
          <w:b w:val="0"/>
          <w:lang w:eastAsia="zh-CN"/>
        </w:rPr>
      </w:pPr>
      <w:r>
        <w:rPr>
          <w:rFonts w:ascii="Times New Roman" w:hAnsi="Times New Roman"/>
          <w:lang w:eastAsia="zh-CN"/>
        </w:rPr>
        <w:br w:type="page"/>
      </w:r>
      <w:bookmarkStart w:id="71" w:name="page32"/>
      <w:bookmarkEnd w:id="71"/>
      <w:bookmarkStart w:id="72" w:name="_Toc480978642"/>
      <w:bookmarkStart w:id="73" w:name="_Toc482120688"/>
      <w:bookmarkStart w:id="74" w:name="_Toc68593525"/>
      <w:r>
        <w:rPr>
          <w:rFonts w:ascii="Times New Roman" w:hAnsi="Times New Roman"/>
          <w:lang w:eastAsia="zh-CN"/>
        </w:rPr>
        <w:t>第6条  项目建设用地</w:t>
      </w:r>
      <w:bookmarkEnd w:id="72"/>
      <w:bookmarkEnd w:id="73"/>
      <w:bookmarkEnd w:id="74"/>
    </w:p>
    <w:p>
      <w:pPr>
        <w:pStyle w:val="3"/>
        <w:keepNext w:val="0"/>
        <w:keepLines w:val="0"/>
        <w:widowControl w:val="0"/>
        <w:numPr>
          <w:ilvl w:val="0"/>
          <w:numId w:val="0"/>
        </w:numPr>
        <w:rPr>
          <w:rFonts w:ascii="Times New Roman" w:hAnsi="Times New Roman"/>
        </w:rPr>
      </w:pPr>
      <w:bookmarkStart w:id="75" w:name="_Toc482120689"/>
      <w:bookmarkStart w:id="76" w:name="_Toc68593526"/>
      <w:r>
        <w:rPr>
          <w:rFonts w:ascii="Times New Roman" w:hAnsi="Times New Roman"/>
        </w:rPr>
        <w:t>6.1  征地拆迁</w:t>
      </w:r>
      <w:bookmarkEnd w:id="75"/>
      <w:bookmarkEnd w:id="76"/>
    </w:p>
    <w:p>
      <w:pPr>
        <w:pStyle w:val="4"/>
        <w:keepNext w:val="0"/>
        <w:numPr>
          <w:ilvl w:val="0"/>
          <w:numId w:val="0"/>
        </w:numPr>
        <w:ind w:firstLine="560" w:firstLineChars="200"/>
        <w:rPr>
          <w:rFonts w:ascii="Times New Roman" w:hAnsi="Times New Roman"/>
        </w:rPr>
      </w:pPr>
      <w:r>
        <w:rPr>
          <w:rFonts w:ascii="Times New Roman" w:hAnsi="Times New Roman"/>
        </w:rPr>
        <w:t>6.1.1甲方协调沿线的西安市、宝鸡市人民政府，并与其签订《征地拆迁和环境保障框架协议》（作为本合同附件）。乙方2完成注册成立乙方1，由乙方1根据框架协议约定和西安市、宝鸡市人民政府签署《征地拆迁和环境保障实施协议》，甲方可予以协助。</w:t>
      </w:r>
    </w:p>
    <w:p>
      <w:pPr>
        <w:pStyle w:val="4"/>
        <w:keepNext w:val="0"/>
        <w:numPr>
          <w:ilvl w:val="0"/>
          <w:numId w:val="0"/>
        </w:numPr>
        <w:ind w:firstLine="560" w:firstLineChars="200"/>
        <w:rPr>
          <w:rFonts w:ascii="Times New Roman" w:hAnsi="Times New Roman"/>
        </w:rPr>
      </w:pPr>
      <w:r>
        <w:rPr>
          <w:rFonts w:ascii="Times New Roman" w:hAnsi="Times New Roman"/>
        </w:rPr>
        <w:t>6.1.2陕西省鄠邑经周至至眉县高速公路</w:t>
      </w:r>
      <w:r>
        <w:rPr>
          <w:rFonts w:hint="eastAsia" w:ascii="Times New Roman" w:hAnsi="Times New Roman"/>
        </w:rPr>
        <w:t>由西安市、宝鸡市人民政府负责征地拆迁和环境保障工作。本项目征地拆迁费用计入项目总投资（征地拆迁费用不以施工图预算为限），由乙方1承担</w:t>
      </w:r>
      <w:r>
        <w:rPr>
          <w:rFonts w:ascii="Times New Roman" w:hAnsi="Times New Roman"/>
        </w:rPr>
        <w:t>。</w:t>
      </w:r>
    </w:p>
    <w:p>
      <w:pPr>
        <w:pStyle w:val="4"/>
        <w:keepNext w:val="0"/>
        <w:numPr>
          <w:ilvl w:val="0"/>
          <w:numId w:val="0"/>
        </w:numPr>
        <w:ind w:firstLine="560" w:firstLineChars="200"/>
        <w:rPr>
          <w:rFonts w:ascii="Times New Roman" w:hAnsi="Times New Roman"/>
        </w:rPr>
      </w:pPr>
      <w:r>
        <w:rPr>
          <w:rFonts w:ascii="Times New Roman" w:hAnsi="Times New Roman"/>
        </w:rPr>
        <w:t>6.1.3乙方1是项目建设用地主体，应依法办理相关建设用地组卷报批手续，履行项目法人责任，确保项目依法依规用地。建设用地报批涉及的相关税费按国家和陕西省相关规定执行，由乙方1自行缴纳。因乙方1未及时申报项目用地手续或未及时缴纳相关税费，影响用地手续按期报批，相关责任由乙方1及乙方2连带承担。</w:t>
      </w:r>
    </w:p>
    <w:p>
      <w:pPr>
        <w:pStyle w:val="3"/>
        <w:keepNext w:val="0"/>
        <w:keepLines w:val="0"/>
        <w:widowControl w:val="0"/>
        <w:numPr>
          <w:ilvl w:val="0"/>
          <w:numId w:val="0"/>
        </w:numPr>
        <w:rPr>
          <w:rFonts w:ascii="Times New Roman" w:hAnsi="Times New Roman"/>
        </w:rPr>
      </w:pPr>
      <w:bookmarkStart w:id="77" w:name="page33"/>
      <w:bookmarkEnd w:id="77"/>
      <w:bookmarkStart w:id="78" w:name="_Toc68593527"/>
      <w:bookmarkStart w:id="79" w:name="_Toc482120690"/>
      <w:r>
        <w:rPr>
          <w:rFonts w:ascii="Times New Roman" w:hAnsi="Times New Roman"/>
        </w:rPr>
        <w:t>6.2  土地使用</w:t>
      </w:r>
      <w:bookmarkEnd w:id="78"/>
      <w:bookmarkEnd w:id="79"/>
    </w:p>
    <w:p>
      <w:pPr>
        <w:pStyle w:val="4"/>
        <w:keepNext w:val="0"/>
        <w:numPr>
          <w:ilvl w:val="0"/>
          <w:numId w:val="0"/>
        </w:numPr>
        <w:ind w:firstLine="560" w:firstLineChars="200"/>
        <w:rPr>
          <w:rFonts w:ascii="Times New Roman" w:hAnsi="Times New Roman"/>
        </w:rPr>
      </w:pPr>
      <w:r>
        <w:rPr>
          <w:rFonts w:ascii="Times New Roman" w:hAnsi="Times New Roman"/>
        </w:rPr>
        <w:t>6.2.1陕西省鄠邑经周至至眉县高速公路建设用地由西安市、宝鸡市、鄠邑区、周至县、眉县人民政府交付给乙方1使用。</w:t>
      </w:r>
    </w:p>
    <w:p>
      <w:pPr>
        <w:pStyle w:val="4"/>
        <w:keepNext w:val="0"/>
        <w:numPr>
          <w:ilvl w:val="0"/>
          <w:numId w:val="0"/>
        </w:numPr>
        <w:ind w:firstLine="560" w:firstLineChars="200"/>
        <w:rPr>
          <w:rFonts w:ascii="Times New Roman" w:hAnsi="Times New Roman"/>
        </w:rPr>
      </w:pPr>
      <w:r>
        <w:rPr>
          <w:rFonts w:ascii="Times New Roman" w:hAnsi="Times New Roman"/>
        </w:rPr>
        <w:t>6.2.2乙方1在签订本合同后，督促施工单位在项目开工前提出临时用地申请，并及时支付相关费用，因未及时提出申请或未及时支付费用导致项目建设期延误或造成损失的，由乙方1承担。</w:t>
      </w:r>
    </w:p>
    <w:p>
      <w:pPr>
        <w:pStyle w:val="4"/>
        <w:keepNext w:val="0"/>
        <w:numPr>
          <w:ilvl w:val="0"/>
          <w:numId w:val="0"/>
        </w:numPr>
        <w:ind w:firstLine="560" w:firstLineChars="200"/>
        <w:rPr>
          <w:rFonts w:ascii="Times New Roman" w:hAnsi="Times New Roman"/>
        </w:rPr>
      </w:pPr>
      <w:r>
        <w:rPr>
          <w:rFonts w:ascii="Times New Roman" w:hAnsi="Times New Roman"/>
        </w:rPr>
        <w:t>6.2.3未经甲方事先书面同意，乙方1不得将本项目建设用地变更土地用途、对外转让及在其上设置任何他方权利，也不得用于本工程建设之外的任何目的。</w:t>
      </w:r>
    </w:p>
    <w:p>
      <w:pPr>
        <w:pStyle w:val="4"/>
        <w:keepNext w:val="0"/>
        <w:numPr>
          <w:ilvl w:val="0"/>
          <w:numId w:val="0"/>
        </w:numPr>
        <w:ind w:firstLine="560" w:firstLineChars="200"/>
        <w:rPr>
          <w:rFonts w:ascii="Times New Roman" w:hAnsi="Times New Roman"/>
        </w:rPr>
      </w:pPr>
      <w:r>
        <w:rPr>
          <w:rFonts w:ascii="Times New Roman" w:hAnsi="Times New Roman"/>
        </w:rPr>
        <w:t>6.2.4乙方1应当根据适用法律的要求，合理合法使用本合同项下的土地使用权，如因乙方1违反适用法律、投资协议、本合同和其他有关法律文件的要求违法使用土地的，由此产生的全部法律后果及法律赔偿责任均由乙方1和乙方2承担，与甲方无关。由此给甲方造成损失的，乙方1和乙方2应连带承担赔偿责任。</w:t>
      </w:r>
    </w:p>
    <w:p>
      <w:pPr>
        <w:pStyle w:val="2"/>
        <w:keepNext w:val="0"/>
        <w:ind w:right="0" w:rightChars="0"/>
        <w:rPr>
          <w:rFonts w:ascii="Times New Roman" w:hAnsi="Times New Roman" w:eastAsiaTheme="minorEastAsia"/>
          <w:b w:val="0"/>
          <w:lang w:eastAsia="zh-CN"/>
        </w:rPr>
      </w:pPr>
      <w:r>
        <w:rPr>
          <w:rFonts w:ascii="Times New Roman" w:hAnsi="Times New Roman"/>
          <w:lang w:eastAsia="zh-CN"/>
        </w:rPr>
        <w:br w:type="page"/>
      </w:r>
      <w:bookmarkStart w:id="80" w:name="page34"/>
      <w:bookmarkEnd w:id="80"/>
      <w:bookmarkStart w:id="81" w:name="_Toc480978643"/>
      <w:bookmarkStart w:id="82" w:name="_Toc482120691"/>
      <w:bookmarkStart w:id="83" w:name="_Toc68593528"/>
      <w:r>
        <w:rPr>
          <w:rFonts w:ascii="Times New Roman" w:hAnsi="Times New Roman"/>
          <w:lang w:eastAsia="zh-CN"/>
        </w:rPr>
        <w:t>第7条  项目建设</w:t>
      </w:r>
      <w:bookmarkEnd w:id="81"/>
      <w:bookmarkEnd w:id="82"/>
      <w:bookmarkEnd w:id="83"/>
    </w:p>
    <w:p>
      <w:pPr>
        <w:pStyle w:val="3"/>
        <w:keepNext w:val="0"/>
        <w:keepLines w:val="0"/>
        <w:widowControl w:val="0"/>
        <w:numPr>
          <w:ilvl w:val="0"/>
          <w:numId w:val="0"/>
        </w:numPr>
        <w:rPr>
          <w:rFonts w:ascii="Times New Roman" w:hAnsi="Times New Roman"/>
        </w:rPr>
      </w:pPr>
      <w:bookmarkStart w:id="84" w:name="_Toc482120692"/>
      <w:bookmarkStart w:id="85" w:name="_Toc68593529"/>
      <w:r>
        <w:rPr>
          <w:rFonts w:ascii="Times New Roman" w:hAnsi="Times New Roman"/>
        </w:rPr>
        <w:t>7.1  设计、监理机构</w:t>
      </w:r>
      <w:bookmarkEnd w:id="84"/>
      <w:bookmarkEnd w:id="85"/>
    </w:p>
    <w:p>
      <w:pPr>
        <w:pStyle w:val="4"/>
        <w:keepNext w:val="0"/>
        <w:numPr>
          <w:ilvl w:val="0"/>
          <w:numId w:val="0"/>
        </w:numPr>
        <w:ind w:firstLine="560" w:firstLineChars="200"/>
        <w:rPr>
          <w:rFonts w:ascii="Times New Roman" w:hAnsi="Times New Roman"/>
        </w:rPr>
      </w:pPr>
      <w:r>
        <w:rPr>
          <w:rFonts w:ascii="Times New Roman" w:hAnsi="Times New Roman"/>
        </w:rPr>
        <w:t>7.1.1乙方1应根据所有适用法律、规范、初步设计、施工图设计以及投资协议的规定和要求组织建设项目的实施，并完成工程缺陷责任期修复和竣（交）工验收工作。</w:t>
      </w:r>
    </w:p>
    <w:p>
      <w:pPr>
        <w:pStyle w:val="4"/>
        <w:keepNext w:val="0"/>
        <w:numPr>
          <w:ilvl w:val="0"/>
          <w:numId w:val="0"/>
        </w:numPr>
        <w:ind w:firstLine="560" w:firstLineChars="200"/>
        <w:rPr>
          <w:rFonts w:ascii="Times New Roman" w:hAnsi="Times New Roman"/>
        </w:rPr>
      </w:pPr>
      <w:r>
        <w:rPr>
          <w:rFonts w:ascii="Times New Roman" w:hAnsi="Times New Roman"/>
        </w:rPr>
        <w:t>7.1.2乙方1应按交通部《交通运输部关于进一步加强公路项目建设单位管理的若干意见》（交公路发〔2011〕438号）相关规定进行机构设置和配备工程技术管理人员，并报甲方备案。如乙方1董事长、总经理、副总经理、总工程师、总经济师、总会计师等主要管理人员不符合规定或不满足要求的，甲方有权要求其限期整改，限期仍未整改的，甲方有权按违约金（2万元/每人/每天）处理。</w:t>
      </w:r>
    </w:p>
    <w:p>
      <w:pPr>
        <w:pStyle w:val="4"/>
        <w:keepNext w:val="0"/>
        <w:numPr>
          <w:ilvl w:val="0"/>
          <w:numId w:val="0"/>
        </w:numPr>
        <w:ind w:firstLine="560" w:firstLineChars="200"/>
        <w:rPr>
          <w:rFonts w:ascii="Times New Roman" w:hAnsi="Times New Roman"/>
        </w:rPr>
      </w:pPr>
      <w:r>
        <w:rPr>
          <w:rFonts w:ascii="Times New Roman" w:hAnsi="Times New Roman"/>
        </w:rPr>
        <w:t>7.1.3乙方1成立以前，本项目设计工作由交投集团负责具体管理，包括依法选定设计单位、组织审查、验收、落实审查修改意见等。乙方1成立以后，甲方协调交投集团将设计合同</w:t>
      </w:r>
      <w:r>
        <w:rPr>
          <w:rFonts w:hint="eastAsia" w:ascii="Times New Roman" w:hAnsi="Times New Roman"/>
        </w:rPr>
        <w:t>及设计成果等资料移交</w:t>
      </w:r>
      <w:r>
        <w:rPr>
          <w:rFonts w:ascii="Times New Roman" w:hAnsi="Times New Roman"/>
        </w:rPr>
        <w:t>给乙方1，并由乙方1负责设计管理。设计费用由乙方1最终承担，并纳入项目总投资。</w:t>
      </w:r>
    </w:p>
    <w:p>
      <w:pPr>
        <w:pStyle w:val="4"/>
        <w:keepNext w:val="0"/>
        <w:numPr>
          <w:ilvl w:val="0"/>
          <w:numId w:val="0"/>
        </w:numPr>
        <w:ind w:firstLine="560" w:firstLineChars="200"/>
        <w:rPr>
          <w:rFonts w:ascii="Times New Roman" w:hAnsi="Times New Roman"/>
        </w:rPr>
      </w:pPr>
      <w:r>
        <w:rPr>
          <w:rFonts w:ascii="Times New Roman" w:hAnsi="Times New Roman"/>
        </w:rPr>
        <w:t>7.1.4本项目的工程监理单位和中心试验室由甲方通过公开招标确定，在项目实施过程中，甲方有权对监理单位和中心试验室的履约和服务费支付情况进行监管。</w:t>
      </w:r>
    </w:p>
    <w:p>
      <w:pPr>
        <w:pStyle w:val="3"/>
        <w:keepNext w:val="0"/>
        <w:keepLines w:val="0"/>
        <w:widowControl w:val="0"/>
        <w:numPr>
          <w:ilvl w:val="0"/>
          <w:numId w:val="0"/>
        </w:numPr>
        <w:rPr>
          <w:rFonts w:ascii="Times New Roman" w:hAnsi="Times New Roman"/>
        </w:rPr>
      </w:pPr>
      <w:bookmarkStart w:id="86" w:name="_Toc482120693"/>
      <w:bookmarkStart w:id="87" w:name="_Toc68593530"/>
      <w:r>
        <w:rPr>
          <w:rFonts w:ascii="Times New Roman" w:hAnsi="Times New Roman"/>
        </w:rPr>
        <w:t>7.2  工程协调和管理</w:t>
      </w:r>
      <w:bookmarkEnd w:id="86"/>
      <w:bookmarkEnd w:id="87"/>
    </w:p>
    <w:p>
      <w:pPr>
        <w:pStyle w:val="4"/>
        <w:keepNext w:val="0"/>
        <w:numPr>
          <w:ilvl w:val="0"/>
          <w:numId w:val="0"/>
        </w:numPr>
        <w:ind w:firstLine="560" w:firstLineChars="200"/>
        <w:rPr>
          <w:rFonts w:ascii="Times New Roman" w:hAnsi="Times New Roman"/>
        </w:rPr>
      </w:pPr>
      <w:r>
        <w:rPr>
          <w:rFonts w:ascii="Times New Roman" w:hAnsi="Times New Roman"/>
        </w:rPr>
        <w:t>乙方1应全面负责本项目的协调和管理工作，包括为项目工程服务的关联合同单位等。同时乙方1应与项目工程范围内各有关单位及有关政府部门进行协调，必要时可请求甲方协助，以保证项目工程顺利实施。</w:t>
      </w:r>
    </w:p>
    <w:p>
      <w:pPr>
        <w:pStyle w:val="3"/>
        <w:keepNext w:val="0"/>
        <w:keepLines w:val="0"/>
        <w:widowControl w:val="0"/>
        <w:numPr>
          <w:ilvl w:val="0"/>
          <w:numId w:val="0"/>
        </w:numPr>
        <w:rPr>
          <w:rFonts w:ascii="Times New Roman" w:hAnsi="Times New Roman"/>
        </w:rPr>
      </w:pPr>
      <w:bookmarkStart w:id="88" w:name="page35"/>
      <w:bookmarkEnd w:id="88"/>
      <w:bookmarkStart w:id="89" w:name="_Toc482120694"/>
      <w:bookmarkStart w:id="90" w:name="_Toc68593531"/>
      <w:r>
        <w:rPr>
          <w:rFonts w:ascii="Times New Roman" w:hAnsi="Times New Roman"/>
        </w:rPr>
        <w:t>7.3  关联合同</w:t>
      </w:r>
      <w:bookmarkEnd w:id="89"/>
      <w:bookmarkEnd w:id="90"/>
    </w:p>
    <w:p>
      <w:pPr>
        <w:pStyle w:val="4"/>
        <w:keepNext w:val="0"/>
        <w:numPr>
          <w:ilvl w:val="0"/>
          <w:numId w:val="0"/>
        </w:numPr>
        <w:ind w:firstLine="560" w:firstLineChars="200"/>
        <w:rPr>
          <w:rFonts w:ascii="Times New Roman" w:hAnsi="Times New Roman"/>
        </w:rPr>
      </w:pPr>
      <w:r>
        <w:rPr>
          <w:rFonts w:ascii="Times New Roman" w:hAnsi="Times New Roman"/>
        </w:rPr>
        <w:t>7.3.1任何其它合同，其履行与本合同有关者，或与本合同之履行与该合同有关者，均为“关联合同”。乙方1应按合同相关规定及甲方的要求协调相关工作并为关联合同提供服务。关联合同的承包商名称在生效日可能仍未确定，乙方1不得以此为理由而对以后确定的关联合同承包商有异议。</w:t>
      </w:r>
    </w:p>
    <w:p>
      <w:pPr>
        <w:pStyle w:val="4"/>
        <w:keepNext w:val="0"/>
        <w:numPr>
          <w:ilvl w:val="0"/>
          <w:numId w:val="0"/>
        </w:numPr>
        <w:ind w:firstLine="560" w:firstLineChars="200"/>
        <w:rPr>
          <w:rFonts w:ascii="Times New Roman" w:hAnsi="Times New Roman"/>
        </w:rPr>
      </w:pPr>
      <w:r>
        <w:rPr>
          <w:rFonts w:ascii="Times New Roman" w:hAnsi="Times New Roman"/>
        </w:rPr>
        <w:t>7.3.2乙方1应于合同规定的时间，或甲方要求的其他时间，协调其与关联合同承包商的工作。乙方1应为关联合同承包商提供一切合理机会并参与协调管理，使其能开展工作。</w:t>
      </w:r>
    </w:p>
    <w:p>
      <w:pPr>
        <w:pStyle w:val="3"/>
        <w:keepNext w:val="0"/>
        <w:keepLines w:val="0"/>
        <w:widowControl w:val="0"/>
        <w:numPr>
          <w:ilvl w:val="0"/>
          <w:numId w:val="0"/>
        </w:numPr>
        <w:rPr>
          <w:rFonts w:ascii="Times New Roman" w:hAnsi="Times New Roman"/>
        </w:rPr>
      </w:pPr>
      <w:bookmarkStart w:id="91" w:name="_Toc482120695"/>
      <w:bookmarkStart w:id="92" w:name="_Toc68593532"/>
      <w:r>
        <w:rPr>
          <w:rFonts w:ascii="Times New Roman" w:hAnsi="Times New Roman"/>
        </w:rPr>
        <w:t>7.4  工程进度</w:t>
      </w:r>
      <w:bookmarkEnd w:id="91"/>
      <w:bookmarkEnd w:id="92"/>
    </w:p>
    <w:p>
      <w:pPr>
        <w:pStyle w:val="4"/>
        <w:keepNext w:val="0"/>
        <w:numPr>
          <w:ilvl w:val="0"/>
          <w:numId w:val="0"/>
        </w:numPr>
        <w:ind w:firstLine="560" w:firstLineChars="200"/>
        <w:rPr>
          <w:rFonts w:ascii="Times New Roman" w:hAnsi="Times New Roman"/>
        </w:rPr>
      </w:pPr>
      <w:r>
        <w:rPr>
          <w:rFonts w:ascii="Times New Roman" w:hAnsi="Times New Roman"/>
        </w:rPr>
        <w:t>7.4.1本项目的建设总工期应满足招标文件要求。</w:t>
      </w:r>
    </w:p>
    <w:p>
      <w:pPr>
        <w:pStyle w:val="4"/>
        <w:keepNext w:val="0"/>
        <w:numPr>
          <w:ilvl w:val="0"/>
          <w:numId w:val="0"/>
        </w:numPr>
        <w:ind w:firstLine="560" w:firstLineChars="200"/>
        <w:rPr>
          <w:rFonts w:ascii="Times New Roman" w:hAnsi="Times New Roman"/>
        </w:rPr>
      </w:pPr>
      <w:r>
        <w:rPr>
          <w:rFonts w:ascii="Times New Roman" w:hAnsi="Times New Roman"/>
        </w:rPr>
        <w:t>7.4.2乙方1应向甲方提交详细的总体施工进度计划，总体计划应满足甲方对项目的总体计划和年度计划要求。</w:t>
      </w:r>
    </w:p>
    <w:p>
      <w:pPr>
        <w:pStyle w:val="4"/>
        <w:keepNext w:val="0"/>
        <w:numPr>
          <w:ilvl w:val="0"/>
          <w:numId w:val="0"/>
        </w:numPr>
        <w:ind w:firstLine="560" w:firstLineChars="200"/>
        <w:rPr>
          <w:rFonts w:ascii="Times New Roman" w:hAnsi="Times New Roman"/>
        </w:rPr>
      </w:pPr>
      <w:r>
        <w:rPr>
          <w:rFonts w:ascii="Times New Roman" w:hAnsi="Times New Roman"/>
        </w:rPr>
        <w:t>7.4.3如果出现下述情况，对项目建设总工期产生影响时，建设进度将被顺延或修改：</w:t>
      </w:r>
    </w:p>
    <w:p>
      <w:pPr>
        <w:pStyle w:val="4"/>
        <w:keepNext w:val="0"/>
        <w:numPr>
          <w:ilvl w:val="0"/>
          <w:numId w:val="0"/>
        </w:numPr>
        <w:ind w:firstLine="560" w:firstLineChars="200"/>
        <w:rPr>
          <w:rFonts w:ascii="Times New Roman" w:hAnsi="Times New Roman"/>
        </w:rPr>
      </w:pPr>
      <w:r>
        <w:rPr>
          <w:rFonts w:ascii="Times New Roman" w:hAnsi="Times New Roman"/>
        </w:rPr>
        <w:t>（a）不可抗力事件；</w:t>
      </w:r>
    </w:p>
    <w:p>
      <w:pPr>
        <w:pStyle w:val="4"/>
        <w:keepNext w:val="0"/>
        <w:numPr>
          <w:ilvl w:val="0"/>
          <w:numId w:val="0"/>
        </w:numPr>
        <w:ind w:firstLine="560" w:firstLineChars="200"/>
        <w:rPr>
          <w:rFonts w:ascii="Times New Roman" w:hAnsi="Times New Roman"/>
        </w:rPr>
      </w:pPr>
      <w:r>
        <w:rPr>
          <w:rFonts w:ascii="Times New Roman" w:hAnsi="Times New Roman"/>
        </w:rPr>
        <w:t>（b）建设场地范围内发现有古墓、古建筑或化石等具有考古、地质研究价值的物品；</w:t>
      </w:r>
    </w:p>
    <w:p>
      <w:pPr>
        <w:pStyle w:val="4"/>
        <w:keepNext w:val="0"/>
        <w:numPr>
          <w:ilvl w:val="0"/>
          <w:numId w:val="0"/>
        </w:numPr>
        <w:ind w:firstLine="560" w:firstLineChars="200"/>
        <w:rPr>
          <w:rFonts w:ascii="Times New Roman" w:hAnsi="Times New Roman"/>
        </w:rPr>
      </w:pPr>
      <w:r>
        <w:rPr>
          <w:rFonts w:ascii="Times New Roman" w:hAnsi="Times New Roman"/>
        </w:rPr>
        <w:t>（c）乙方1按规定程序办理相关手续，但因政府部门审批导致工程无法推进造成的延误；</w:t>
      </w:r>
    </w:p>
    <w:p>
      <w:pPr>
        <w:pStyle w:val="4"/>
        <w:keepNext w:val="0"/>
        <w:numPr>
          <w:ilvl w:val="0"/>
          <w:numId w:val="0"/>
        </w:numPr>
        <w:ind w:firstLine="560" w:firstLineChars="200"/>
        <w:rPr>
          <w:rFonts w:ascii="Times New Roman" w:hAnsi="Times New Roman"/>
        </w:rPr>
      </w:pPr>
      <w:r>
        <w:rPr>
          <w:rFonts w:ascii="Times New Roman" w:hAnsi="Times New Roman"/>
        </w:rPr>
        <w:t>（d）本合同约定或双方共同认可的其他情形。</w:t>
      </w:r>
      <w:bookmarkStart w:id="93" w:name="page36"/>
      <w:bookmarkEnd w:id="93"/>
    </w:p>
    <w:p>
      <w:pPr>
        <w:pStyle w:val="4"/>
        <w:keepNext w:val="0"/>
        <w:numPr>
          <w:ilvl w:val="0"/>
          <w:numId w:val="0"/>
        </w:numPr>
        <w:ind w:firstLine="560" w:firstLineChars="200"/>
        <w:rPr>
          <w:rFonts w:ascii="Times New Roman" w:hAnsi="Times New Roman"/>
        </w:rPr>
      </w:pPr>
      <w:r>
        <w:rPr>
          <w:rFonts w:ascii="Times New Roman" w:hAnsi="Times New Roman"/>
        </w:rPr>
        <w:t>7.4.4如同时满足了以下情形，乙方1可以在本合同第7.4.3条款的事件发生后，要求延长进度日期：</w:t>
      </w:r>
    </w:p>
    <w:p>
      <w:pPr>
        <w:pStyle w:val="4"/>
        <w:keepNext w:val="0"/>
        <w:numPr>
          <w:ilvl w:val="0"/>
          <w:numId w:val="0"/>
        </w:numPr>
        <w:ind w:firstLine="560" w:firstLineChars="200"/>
        <w:rPr>
          <w:rFonts w:ascii="Times New Roman" w:hAnsi="Times New Roman"/>
        </w:rPr>
      </w:pPr>
      <w:r>
        <w:rPr>
          <w:rFonts w:ascii="Times New Roman" w:hAnsi="Times New Roman"/>
        </w:rPr>
        <w:t>（a）乙方1在实际发生延误情况后十（10）个工作日内向甲方提出书面的延期申请，说明要求延期的原因和延期的起止时间；</w:t>
      </w:r>
    </w:p>
    <w:p>
      <w:pPr>
        <w:pStyle w:val="4"/>
        <w:keepNext w:val="0"/>
        <w:numPr>
          <w:ilvl w:val="0"/>
          <w:numId w:val="0"/>
        </w:numPr>
        <w:ind w:firstLine="560" w:firstLineChars="200"/>
        <w:rPr>
          <w:rFonts w:ascii="Times New Roman" w:hAnsi="Times New Roman"/>
        </w:rPr>
      </w:pPr>
      <w:r>
        <w:rPr>
          <w:rFonts w:ascii="Times New Roman" w:hAnsi="Times New Roman"/>
        </w:rPr>
        <w:t>（b）乙方1已采取所有合理的措施减少延误。</w:t>
      </w:r>
    </w:p>
    <w:p>
      <w:pPr>
        <w:pStyle w:val="4"/>
        <w:keepNext w:val="0"/>
        <w:numPr>
          <w:ilvl w:val="0"/>
          <w:numId w:val="0"/>
        </w:numPr>
        <w:ind w:firstLine="560" w:firstLineChars="200"/>
        <w:rPr>
          <w:rFonts w:ascii="Times New Roman" w:hAnsi="Times New Roman"/>
        </w:rPr>
      </w:pPr>
      <w:r>
        <w:rPr>
          <w:rFonts w:ascii="Times New Roman" w:hAnsi="Times New Roman"/>
        </w:rPr>
        <w:t>7.4.5如果建设进度因本合同第7.4.3条款和第7.4.4条款延长，则按本合同第2.2条款约定执行。</w:t>
      </w:r>
    </w:p>
    <w:p>
      <w:pPr>
        <w:pStyle w:val="4"/>
        <w:keepNext w:val="0"/>
        <w:numPr>
          <w:ilvl w:val="0"/>
          <w:numId w:val="0"/>
        </w:numPr>
        <w:ind w:firstLine="560" w:firstLineChars="200"/>
        <w:rPr>
          <w:rFonts w:ascii="Times New Roman" w:hAnsi="Times New Roman"/>
        </w:rPr>
      </w:pPr>
      <w:r>
        <w:rPr>
          <w:rFonts w:ascii="Times New Roman" w:hAnsi="Times New Roman"/>
        </w:rPr>
        <w:t>7.4.6若由于乙方1原因未按本合同约定的交工日期或甲方同意延期的交工日期完成项目建设，则乙方1须采取一切有效措施补救，同时甲方认为乙方1采取的补救措施不能满足要求时，甲方有权按全部履约保证金的千分之一/日兑取履约保证金作为乙方1的违约金。</w:t>
      </w:r>
    </w:p>
    <w:p>
      <w:pPr>
        <w:pStyle w:val="3"/>
        <w:keepNext w:val="0"/>
        <w:keepLines w:val="0"/>
        <w:widowControl w:val="0"/>
        <w:numPr>
          <w:ilvl w:val="0"/>
          <w:numId w:val="0"/>
        </w:numPr>
        <w:rPr>
          <w:rFonts w:ascii="Times New Roman" w:hAnsi="Times New Roman"/>
        </w:rPr>
      </w:pPr>
      <w:bookmarkStart w:id="94" w:name="_Toc482120696"/>
      <w:bookmarkStart w:id="95" w:name="_Toc68593533"/>
      <w:r>
        <w:rPr>
          <w:rFonts w:ascii="Times New Roman" w:hAnsi="Times New Roman"/>
        </w:rPr>
        <w:t>7.5  工程招标</w:t>
      </w:r>
      <w:bookmarkEnd w:id="94"/>
      <w:bookmarkEnd w:id="95"/>
    </w:p>
    <w:p>
      <w:pPr>
        <w:pStyle w:val="4"/>
        <w:keepNext w:val="0"/>
        <w:numPr>
          <w:ilvl w:val="0"/>
          <w:numId w:val="0"/>
        </w:numPr>
        <w:ind w:firstLine="560" w:firstLineChars="200"/>
        <w:rPr>
          <w:rFonts w:ascii="Times New Roman" w:hAnsi="Times New Roman"/>
        </w:rPr>
      </w:pPr>
      <w:r>
        <w:rPr>
          <w:rFonts w:ascii="Times New Roman" w:hAnsi="Times New Roman"/>
        </w:rPr>
        <w:t>乙方1投标时，已经明确了其自行施工的内容、范围及施工单位。除其自行施工以外的工程施工及技术服务咨询等，属于法定招标范围的，必须按照国家招投标相关规定，国家发改委、交通运输部、陕西省发改委等相关规定进行招标。</w:t>
      </w:r>
    </w:p>
    <w:p>
      <w:pPr>
        <w:pStyle w:val="3"/>
        <w:keepNext w:val="0"/>
        <w:keepLines w:val="0"/>
        <w:widowControl w:val="0"/>
        <w:numPr>
          <w:ilvl w:val="0"/>
          <w:numId w:val="0"/>
        </w:numPr>
        <w:rPr>
          <w:rFonts w:ascii="Times New Roman" w:hAnsi="Times New Roman"/>
        </w:rPr>
      </w:pPr>
      <w:bookmarkStart w:id="96" w:name="_Toc68593534"/>
      <w:bookmarkStart w:id="97" w:name="_Toc482120697"/>
      <w:r>
        <w:rPr>
          <w:rFonts w:ascii="Times New Roman" w:hAnsi="Times New Roman"/>
        </w:rPr>
        <w:t>7.6  现场数据</w:t>
      </w:r>
      <w:bookmarkEnd w:id="96"/>
      <w:bookmarkEnd w:id="97"/>
    </w:p>
    <w:p>
      <w:pPr>
        <w:pStyle w:val="4"/>
        <w:keepNext w:val="0"/>
        <w:numPr>
          <w:ilvl w:val="0"/>
          <w:numId w:val="0"/>
        </w:numPr>
        <w:ind w:firstLine="560" w:firstLineChars="200"/>
        <w:rPr>
          <w:rFonts w:ascii="Times New Roman" w:hAnsi="Times New Roman"/>
        </w:rPr>
      </w:pPr>
      <w:r>
        <w:rPr>
          <w:rFonts w:ascii="Times New Roman" w:hAnsi="Times New Roman"/>
        </w:rPr>
        <w:t>7.6.1甲方提供数据</w:t>
      </w:r>
    </w:p>
    <w:p>
      <w:pPr>
        <w:pStyle w:val="4"/>
        <w:keepNext w:val="0"/>
        <w:numPr>
          <w:ilvl w:val="0"/>
          <w:numId w:val="0"/>
        </w:numPr>
        <w:ind w:firstLine="560" w:firstLineChars="200"/>
        <w:rPr>
          <w:rFonts w:ascii="Times New Roman" w:hAnsi="Times New Roman"/>
        </w:rPr>
      </w:pPr>
      <w:r>
        <w:rPr>
          <w:rFonts w:ascii="Times New Roman" w:hAnsi="Times New Roman"/>
        </w:rPr>
        <w:t>（a）甲方应督促设计单位将现场地质和水文条件及环境方面的所有相关资料提交给乙方1。甲方在本合同生效日后得到的所有此类资料，也应及时提交给乙方1。</w:t>
      </w:r>
    </w:p>
    <w:p>
      <w:pPr>
        <w:pStyle w:val="4"/>
        <w:keepNext w:val="0"/>
        <w:numPr>
          <w:ilvl w:val="0"/>
          <w:numId w:val="0"/>
        </w:numPr>
        <w:ind w:firstLine="560" w:firstLineChars="200"/>
        <w:rPr>
          <w:rFonts w:ascii="Times New Roman" w:hAnsi="Times New Roman"/>
        </w:rPr>
      </w:pPr>
      <w:bookmarkStart w:id="98" w:name="page37"/>
      <w:bookmarkEnd w:id="98"/>
      <w:r>
        <w:rPr>
          <w:rFonts w:ascii="Times New Roman" w:hAnsi="Times New Roman"/>
        </w:rPr>
        <w:t>（b）乙方1应负责核实所有此类资料，并在收到该文件资料后二十八（28）日内，针对该资料文件的完整性进行核实，否则视为甲方提供的数据具有完整性。</w:t>
      </w:r>
    </w:p>
    <w:p>
      <w:pPr>
        <w:pStyle w:val="4"/>
        <w:keepNext w:val="0"/>
        <w:numPr>
          <w:ilvl w:val="0"/>
          <w:numId w:val="0"/>
        </w:numPr>
        <w:ind w:firstLine="560" w:firstLineChars="200"/>
        <w:rPr>
          <w:rFonts w:ascii="Times New Roman" w:hAnsi="Times New Roman"/>
        </w:rPr>
      </w:pPr>
      <w:r>
        <w:rPr>
          <w:rFonts w:ascii="Times New Roman" w:hAnsi="Times New Roman"/>
        </w:rPr>
        <w:t>7.6.2不可预见的地表以下条件</w:t>
      </w:r>
    </w:p>
    <w:p>
      <w:pPr>
        <w:pStyle w:val="4"/>
        <w:keepNext w:val="0"/>
        <w:numPr>
          <w:ilvl w:val="0"/>
          <w:numId w:val="0"/>
        </w:numPr>
        <w:ind w:firstLine="560" w:firstLineChars="200"/>
        <w:rPr>
          <w:rFonts w:ascii="Times New Roman" w:hAnsi="Times New Roman"/>
        </w:rPr>
      </w:pPr>
      <w:r>
        <w:rPr>
          <w:rFonts w:ascii="Times New Roman" w:hAnsi="Times New Roman"/>
        </w:rPr>
        <w:t>除依照本合同第7.6.1条款规定外，乙方1应认真分析地勘报告，制定可行的施工方案。</w:t>
      </w:r>
    </w:p>
    <w:p>
      <w:pPr>
        <w:pStyle w:val="3"/>
        <w:keepNext w:val="0"/>
        <w:keepLines w:val="0"/>
        <w:widowControl w:val="0"/>
        <w:numPr>
          <w:ilvl w:val="0"/>
          <w:numId w:val="0"/>
        </w:numPr>
        <w:rPr>
          <w:rFonts w:ascii="Times New Roman" w:hAnsi="Times New Roman"/>
        </w:rPr>
      </w:pPr>
      <w:bookmarkStart w:id="99" w:name="_Toc68593535"/>
      <w:bookmarkStart w:id="100" w:name="_Toc482120698"/>
      <w:r>
        <w:rPr>
          <w:rFonts w:ascii="Times New Roman" w:hAnsi="Times New Roman"/>
        </w:rPr>
        <w:t>7.7  进场路线</w:t>
      </w:r>
      <w:bookmarkEnd w:id="99"/>
      <w:bookmarkEnd w:id="100"/>
    </w:p>
    <w:p>
      <w:pPr>
        <w:pStyle w:val="4"/>
        <w:keepNext w:val="0"/>
        <w:numPr>
          <w:ilvl w:val="0"/>
          <w:numId w:val="0"/>
        </w:numPr>
        <w:ind w:firstLine="560" w:firstLineChars="200"/>
        <w:rPr>
          <w:rFonts w:ascii="Times New Roman" w:hAnsi="Times New Roman"/>
        </w:rPr>
      </w:pPr>
      <w:r>
        <w:rPr>
          <w:rFonts w:ascii="Times New Roman" w:hAnsi="Times New Roman"/>
        </w:rPr>
        <w:t>7.7.1进场路线</w:t>
      </w:r>
    </w:p>
    <w:p>
      <w:pPr>
        <w:pStyle w:val="4"/>
        <w:keepNext w:val="0"/>
        <w:numPr>
          <w:ilvl w:val="0"/>
          <w:numId w:val="0"/>
        </w:numPr>
        <w:ind w:firstLine="560" w:firstLineChars="200"/>
        <w:rPr>
          <w:rFonts w:ascii="Times New Roman" w:hAnsi="Times New Roman"/>
        </w:rPr>
      </w:pPr>
      <w:r>
        <w:rPr>
          <w:rFonts w:ascii="Times New Roman" w:hAnsi="Times New Roman"/>
        </w:rPr>
        <w:t>（a）乙方1应被认为已知悉其选用的进场路线的适宜性与可用性，乙方1应负责进场路线的维护。乙方1应提供其认为对引导其职员、劳工及其他人员进场所必需的任何标志或方向指示。乙方1应为使用此类进场路线、标志和方向指示取得有关政府部门的批准。</w:t>
      </w:r>
    </w:p>
    <w:p>
      <w:pPr>
        <w:pStyle w:val="4"/>
        <w:keepNext w:val="0"/>
        <w:numPr>
          <w:ilvl w:val="0"/>
          <w:numId w:val="0"/>
        </w:numPr>
        <w:ind w:firstLine="560" w:firstLineChars="200"/>
        <w:rPr>
          <w:rFonts w:ascii="Times New Roman" w:hAnsi="Times New Roman"/>
        </w:rPr>
      </w:pPr>
      <w:r>
        <w:rPr>
          <w:rFonts w:ascii="Times New Roman" w:hAnsi="Times New Roman"/>
        </w:rPr>
        <w:t>（b）乙方1在建设过程中使用国省干线和地方道路造成损坏的，应自行按有关规定予以恢复或补偿，由于任何进场路线的采用或其他原因引起的索赔，由乙方1和乙方2自行解决并承担由此产生的全部费用，与甲方无关。</w:t>
      </w:r>
    </w:p>
    <w:p>
      <w:pPr>
        <w:pStyle w:val="4"/>
        <w:keepNext w:val="0"/>
        <w:numPr>
          <w:ilvl w:val="0"/>
          <w:numId w:val="0"/>
        </w:numPr>
        <w:ind w:firstLine="560" w:firstLineChars="200"/>
        <w:rPr>
          <w:rFonts w:ascii="Times New Roman" w:hAnsi="Times New Roman"/>
        </w:rPr>
      </w:pPr>
      <w:r>
        <w:rPr>
          <w:rFonts w:ascii="Times New Roman" w:hAnsi="Times New Roman"/>
        </w:rPr>
        <w:t>7.7.2道路通行权与设施</w:t>
      </w:r>
    </w:p>
    <w:p>
      <w:pPr>
        <w:pStyle w:val="4"/>
        <w:keepNext w:val="0"/>
        <w:numPr>
          <w:ilvl w:val="0"/>
          <w:numId w:val="0"/>
        </w:numPr>
        <w:ind w:firstLine="560" w:firstLineChars="200"/>
        <w:rPr>
          <w:rFonts w:ascii="Times New Roman" w:hAnsi="Times New Roman"/>
        </w:rPr>
      </w:pPr>
      <w:r>
        <w:rPr>
          <w:rFonts w:ascii="Times New Roman" w:hAnsi="Times New Roman"/>
        </w:rPr>
        <w:t>乙方1应为自己进入现场所需的特殊或暂时的道路通行权承担全部费用和开支，还应提供为项目工程目的及自身所需的现场以外的附加设施。上述费用计入项目总投资。</w:t>
      </w:r>
    </w:p>
    <w:p>
      <w:pPr>
        <w:pStyle w:val="3"/>
        <w:keepNext w:val="0"/>
        <w:keepLines w:val="0"/>
        <w:widowControl w:val="0"/>
        <w:numPr>
          <w:ilvl w:val="0"/>
          <w:numId w:val="0"/>
        </w:numPr>
        <w:rPr>
          <w:rFonts w:ascii="Times New Roman" w:hAnsi="Times New Roman"/>
        </w:rPr>
      </w:pPr>
      <w:bookmarkStart w:id="101" w:name="_Toc482120699"/>
      <w:bookmarkStart w:id="102" w:name="_Toc68593536"/>
      <w:r>
        <w:rPr>
          <w:rFonts w:ascii="Times New Roman" w:hAnsi="Times New Roman"/>
        </w:rPr>
        <w:t>7.8  现场管理和环境保护</w:t>
      </w:r>
      <w:bookmarkEnd w:id="101"/>
      <w:bookmarkEnd w:id="102"/>
    </w:p>
    <w:p>
      <w:pPr>
        <w:pStyle w:val="4"/>
        <w:keepNext w:val="0"/>
        <w:numPr>
          <w:ilvl w:val="0"/>
          <w:numId w:val="0"/>
        </w:numPr>
        <w:ind w:firstLine="560" w:firstLineChars="200"/>
        <w:rPr>
          <w:rFonts w:ascii="Times New Roman" w:hAnsi="Times New Roman"/>
        </w:rPr>
      </w:pPr>
      <w:r>
        <w:rPr>
          <w:rFonts w:ascii="Times New Roman" w:hAnsi="Times New Roman"/>
        </w:rPr>
        <w:t>7.8.1乙方1应遵守现场作业过程中所涉及的所有适用法律。从开工日起至交工日止，乙方1应提供：</w:t>
      </w:r>
    </w:p>
    <w:p>
      <w:pPr>
        <w:pStyle w:val="4"/>
        <w:keepNext w:val="0"/>
        <w:numPr>
          <w:ilvl w:val="0"/>
          <w:numId w:val="0"/>
        </w:numPr>
        <w:ind w:firstLine="560" w:firstLineChars="200"/>
        <w:rPr>
          <w:rFonts w:ascii="Times New Roman" w:hAnsi="Times New Roman"/>
        </w:rPr>
      </w:pPr>
      <w:bookmarkStart w:id="103" w:name="page38"/>
      <w:bookmarkEnd w:id="103"/>
      <w:r>
        <w:rPr>
          <w:rFonts w:ascii="Times New Roman" w:hAnsi="Times New Roman"/>
        </w:rPr>
        <w:t>（a）工程的围栏、照明、防护及看守；</w:t>
      </w:r>
    </w:p>
    <w:p>
      <w:pPr>
        <w:pStyle w:val="4"/>
        <w:keepNext w:val="0"/>
        <w:numPr>
          <w:ilvl w:val="0"/>
          <w:numId w:val="0"/>
        </w:numPr>
        <w:ind w:firstLine="560" w:firstLineChars="200"/>
        <w:rPr>
          <w:rFonts w:ascii="Times New Roman" w:hAnsi="Times New Roman"/>
        </w:rPr>
      </w:pPr>
      <w:r>
        <w:rPr>
          <w:rFonts w:ascii="Times New Roman" w:hAnsi="Times New Roman"/>
        </w:rPr>
        <w:t>（b）为邻近地区的所有者和占有者、公众和其他人员，提供便利和保护所必需的临时道路、人行道、防护及围栏。</w:t>
      </w:r>
    </w:p>
    <w:p>
      <w:pPr>
        <w:pStyle w:val="4"/>
        <w:keepNext w:val="0"/>
        <w:numPr>
          <w:ilvl w:val="0"/>
          <w:numId w:val="0"/>
        </w:numPr>
        <w:ind w:firstLine="560" w:firstLineChars="200"/>
        <w:rPr>
          <w:rFonts w:ascii="Times New Roman" w:hAnsi="Times New Roman"/>
        </w:rPr>
      </w:pPr>
      <w:r>
        <w:rPr>
          <w:rFonts w:ascii="Times New Roman" w:hAnsi="Times New Roman"/>
        </w:rPr>
        <w:t>7.8.2乙方1应负责项目工程现场内的治安工作，负责阻止与项目工程无关的人员进入现场。</w:t>
      </w:r>
    </w:p>
    <w:p>
      <w:pPr>
        <w:pStyle w:val="4"/>
        <w:keepNext w:val="0"/>
        <w:numPr>
          <w:ilvl w:val="0"/>
          <w:numId w:val="0"/>
        </w:numPr>
        <w:ind w:firstLine="560" w:firstLineChars="200"/>
        <w:rPr>
          <w:rFonts w:ascii="Times New Roman" w:hAnsi="Times New Roman"/>
        </w:rPr>
      </w:pPr>
      <w:r>
        <w:rPr>
          <w:rFonts w:ascii="Times New Roman" w:hAnsi="Times New Roman"/>
        </w:rPr>
        <w:t>7.8.3乙方1应将其作业限制在工程用地范围内，应采取一切必要的预防措施以保证施工人员与设备处在现场和此类附加区域之内。</w:t>
      </w:r>
    </w:p>
    <w:p>
      <w:pPr>
        <w:pStyle w:val="4"/>
        <w:keepNext w:val="0"/>
        <w:numPr>
          <w:ilvl w:val="0"/>
          <w:numId w:val="0"/>
        </w:numPr>
        <w:ind w:firstLine="560" w:firstLineChars="200"/>
        <w:rPr>
          <w:rFonts w:ascii="Times New Roman" w:hAnsi="Times New Roman"/>
        </w:rPr>
      </w:pPr>
      <w:r>
        <w:rPr>
          <w:rFonts w:ascii="Times New Roman" w:hAnsi="Times New Roman"/>
        </w:rPr>
        <w:t>7.8.4在建设期内，乙方1应使现场避免出现一切不必要的障碍物，妥善存放并处置乙方1的任何设备、材料等。乙方1应及时从现场清除、运走任何残物、垃圾或不再需要的临时工程。</w:t>
      </w:r>
    </w:p>
    <w:p>
      <w:pPr>
        <w:pStyle w:val="4"/>
        <w:keepNext w:val="0"/>
        <w:numPr>
          <w:ilvl w:val="0"/>
          <w:numId w:val="0"/>
        </w:numPr>
        <w:ind w:firstLine="560" w:firstLineChars="200"/>
        <w:rPr>
          <w:rFonts w:ascii="Times New Roman" w:hAnsi="Times New Roman"/>
        </w:rPr>
      </w:pPr>
      <w:r>
        <w:rPr>
          <w:rFonts w:ascii="Times New Roman" w:hAnsi="Times New Roman"/>
        </w:rPr>
        <w:t>7.8.5在签发交工证书前，乙方1应立即从现场清除并运走乙方1的所有设备、剩余材料、残物、垃圾和临时工程。乙方1应保证现场与工程处于甲方满意的清洁和安全状态。</w:t>
      </w:r>
    </w:p>
    <w:p>
      <w:pPr>
        <w:pStyle w:val="4"/>
        <w:keepNext w:val="0"/>
        <w:numPr>
          <w:ilvl w:val="0"/>
          <w:numId w:val="0"/>
        </w:numPr>
        <w:ind w:firstLine="560" w:firstLineChars="200"/>
        <w:rPr>
          <w:rFonts w:ascii="Times New Roman" w:hAnsi="Times New Roman"/>
        </w:rPr>
      </w:pPr>
      <w:r>
        <w:rPr>
          <w:rFonts w:ascii="Times New Roman" w:hAnsi="Times New Roman"/>
        </w:rPr>
        <w:t>7.8.6乙方1应采取一切合理步骤，保护现场内外的环境，并避免由其施工作业引起的污染、噪音以及其他后果对公众和财产造成的损害和妨碍。乙方1应保证在施工期间，现场的气体散发、地面排水及排污不能超过适用法律规定的标准，现场清洁符合环境卫生管理的有关规定。</w:t>
      </w:r>
    </w:p>
    <w:p>
      <w:pPr>
        <w:pStyle w:val="4"/>
        <w:keepNext w:val="0"/>
        <w:numPr>
          <w:ilvl w:val="0"/>
          <w:numId w:val="0"/>
        </w:numPr>
        <w:ind w:firstLine="560" w:firstLineChars="200"/>
        <w:rPr>
          <w:rFonts w:ascii="Times New Roman" w:hAnsi="Times New Roman"/>
        </w:rPr>
      </w:pPr>
      <w:r>
        <w:rPr>
          <w:rFonts w:ascii="Times New Roman" w:hAnsi="Times New Roman"/>
        </w:rPr>
        <w:t>7.8.7乙方1应采取必要措施保障社会车辆和人员经过施工现场的交通疏解。</w:t>
      </w:r>
    </w:p>
    <w:p>
      <w:pPr>
        <w:pStyle w:val="4"/>
        <w:keepNext w:val="0"/>
        <w:numPr>
          <w:ilvl w:val="0"/>
          <w:numId w:val="0"/>
        </w:numPr>
        <w:ind w:firstLine="560" w:firstLineChars="200"/>
        <w:rPr>
          <w:rFonts w:ascii="Times New Roman" w:hAnsi="Times New Roman"/>
        </w:rPr>
      </w:pPr>
      <w:r>
        <w:rPr>
          <w:rFonts w:ascii="Times New Roman" w:hAnsi="Times New Roman"/>
        </w:rPr>
        <w:t>7.8.8在建设期内，在工程现场发现所有化石、钱币、有价值的物品或文物、建筑结构以及具有地质或考古价值的其他遗迹或物品，乙方1应采取合理的预防措施和保护措施，防止其职员、劳工或其他人员移</w:t>
      </w:r>
      <w:bookmarkStart w:id="104" w:name="page39"/>
      <w:bookmarkEnd w:id="104"/>
      <w:r>
        <w:rPr>
          <w:rFonts w:ascii="Times New Roman" w:hAnsi="Times New Roman"/>
        </w:rPr>
        <w:t>动或损坏任何此类物品，及时通知甲方及其他相关单位，并按照相关规定协助文物保护单位，由此发生的费用计入项目总投资。</w:t>
      </w:r>
    </w:p>
    <w:p>
      <w:pPr>
        <w:pStyle w:val="4"/>
        <w:keepNext w:val="0"/>
        <w:numPr>
          <w:ilvl w:val="0"/>
          <w:numId w:val="0"/>
        </w:numPr>
        <w:ind w:firstLine="560" w:firstLineChars="200"/>
        <w:rPr>
          <w:rFonts w:ascii="Times New Roman" w:hAnsi="Times New Roman"/>
        </w:rPr>
      </w:pPr>
      <w:r>
        <w:rPr>
          <w:rFonts w:ascii="Times New Roman" w:hAnsi="Times New Roman"/>
        </w:rPr>
        <w:t>7.8.9乙方1应严格按照国家、陕西省相关法律法规的规定做好现场管理、环境保护和安全文明施工。若因乙方1现场管理、环境保护和安全文明施工不当，所产生的任何后果均由乙方1承担。</w:t>
      </w:r>
    </w:p>
    <w:p>
      <w:pPr>
        <w:pStyle w:val="3"/>
        <w:keepNext w:val="0"/>
        <w:keepLines w:val="0"/>
        <w:widowControl w:val="0"/>
        <w:numPr>
          <w:ilvl w:val="0"/>
          <w:numId w:val="0"/>
        </w:numPr>
        <w:rPr>
          <w:rFonts w:ascii="Times New Roman" w:hAnsi="Times New Roman"/>
        </w:rPr>
      </w:pPr>
      <w:bookmarkStart w:id="105" w:name="_Toc482120700"/>
      <w:bookmarkStart w:id="106" w:name="_Toc68593537"/>
      <w:r>
        <w:rPr>
          <w:rFonts w:ascii="Times New Roman" w:hAnsi="Times New Roman"/>
        </w:rPr>
        <w:t>7.9  工程变更</w:t>
      </w:r>
      <w:bookmarkEnd w:id="105"/>
      <w:bookmarkEnd w:id="106"/>
    </w:p>
    <w:p>
      <w:pPr>
        <w:pStyle w:val="4"/>
        <w:keepNext w:val="0"/>
        <w:numPr>
          <w:ilvl w:val="0"/>
          <w:numId w:val="0"/>
        </w:numPr>
        <w:ind w:firstLine="560" w:firstLineChars="200"/>
        <w:rPr>
          <w:rFonts w:ascii="Times New Roman" w:hAnsi="Times New Roman"/>
        </w:rPr>
      </w:pPr>
      <w:r>
        <w:rPr>
          <w:rFonts w:ascii="Times New Roman" w:hAnsi="Times New Roman"/>
        </w:rPr>
        <w:t>乙方1的设计变更工作执行陕西省交通运输厅《关于印发&lt;陕西省高速公路设计变更管理办法&gt;的通知》（陕交发〔2019〕14号）等适用的有关规定、办法。</w:t>
      </w:r>
    </w:p>
    <w:p>
      <w:pPr>
        <w:pStyle w:val="3"/>
        <w:keepNext w:val="0"/>
        <w:keepLines w:val="0"/>
        <w:widowControl w:val="0"/>
        <w:numPr>
          <w:ilvl w:val="0"/>
          <w:numId w:val="0"/>
        </w:numPr>
        <w:rPr>
          <w:rFonts w:ascii="Times New Roman" w:hAnsi="Times New Roman"/>
        </w:rPr>
      </w:pPr>
      <w:bookmarkStart w:id="107" w:name="_Toc482120701"/>
      <w:r>
        <w:rPr>
          <w:rFonts w:ascii="Times New Roman" w:hAnsi="Times New Roman"/>
        </w:rPr>
        <w:t xml:space="preserve"> </w:t>
      </w:r>
      <w:bookmarkStart w:id="108" w:name="_Toc68593538"/>
      <w:r>
        <w:rPr>
          <w:rFonts w:ascii="Times New Roman" w:hAnsi="Times New Roman"/>
        </w:rPr>
        <w:t>7.10  项目文件</w:t>
      </w:r>
      <w:bookmarkEnd w:id="107"/>
      <w:bookmarkEnd w:id="108"/>
    </w:p>
    <w:p>
      <w:pPr>
        <w:pStyle w:val="4"/>
        <w:keepNext w:val="0"/>
        <w:numPr>
          <w:ilvl w:val="0"/>
          <w:numId w:val="0"/>
        </w:numPr>
        <w:ind w:firstLine="560" w:firstLineChars="200"/>
        <w:rPr>
          <w:rFonts w:ascii="Times New Roman" w:hAnsi="Times New Roman"/>
        </w:rPr>
      </w:pPr>
      <w:r>
        <w:rPr>
          <w:rFonts w:ascii="Times New Roman" w:hAnsi="Times New Roman"/>
        </w:rPr>
        <w:t>7.10.1施工文件</w:t>
      </w:r>
    </w:p>
    <w:p>
      <w:pPr>
        <w:pStyle w:val="4"/>
        <w:keepNext w:val="0"/>
        <w:numPr>
          <w:ilvl w:val="0"/>
          <w:numId w:val="0"/>
        </w:numPr>
        <w:ind w:firstLine="560" w:firstLineChars="200"/>
        <w:rPr>
          <w:rFonts w:ascii="Times New Roman" w:hAnsi="Times New Roman"/>
        </w:rPr>
      </w:pPr>
      <w:r>
        <w:rPr>
          <w:rFonts w:ascii="Times New Roman" w:hAnsi="Times New Roman"/>
        </w:rPr>
        <w:t>乙方1应组织编制足够详细的施工文件，以满足所有适用法律的要求，为供应商和施工人员实施项目工程提供足够的指导，并对已竣工的工程运行进行描述。如果施工文件中存在任何错误、遗漏、模糊、矛盾、欠缺及其他缺陷，乙方1应自费进行修正。</w:t>
      </w:r>
    </w:p>
    <w:p>
      <w:pPr>
        <w:pStyle w:val="4"/>
        <w:keepNext w:val="0"/>
        <w:numPr>
          <w:ilvl w:val="0"/>
          <w:numId w:val="0"/>
        </w:numPr>
        <w:ind w:firstLine="560" w:firstLineChars="200"/>
        <w:rPr>
          <w:rFonts w:ascii="Times New Roman" w:hAnsi="Times New Roman"/>
        </w:rPr>
      </w:pPr>
      <w:r>
        <w:rPr>
          <w:rFonts w:ascii="Times New Roman" w:hAnsi="Times New Roman"/>
        </w:rPr>
        <w:t>7.10.2施工进度统计报表</w:t>
      </w:r>
    </w:p>
    <w:p>
      <w:pPr>
        <w:pStyle w:val="4"/>
        <w:keepNext w:val="0"/>
        <w:numPr>
          <w:ilvl w:val="0"/>
          <w:numId w:val="0"/>
        </w:numPr>
        <w:ind w:firstLine="560" w:firstLineChars="200"/>
        <w:rPr>
          <w:rFonts w:ascii="Times New Roman" w:hAnsi="Times New Roman"/>
        </w:rPr>
      </w:pPr>
      <w:r>
        <w:rPr>
          <w:rFonts w:ascii="Times New Roman" w:hAnsi="Times New Roman"/>
        </w:rPr>
        <w:t>乙方1负责施工进度计划执行情况、统计报表的编制工作及项目汇报材料的编写工作，按规定负责上报相关部门，并抄报甲方。如需甲方上报的报表，由乙方1报甲方汇总并表后一并上报。</w:t>
      </w:r>
    </w:p>
    <w:p>
      <w:pPr>
        <w:pStyle w:val="4"/>
        <w:keepNext w:val="0"/>
        <w:numPr>
          <w:ilvl w:val="0"/>
          <w:numId w:val="0"/>
        </w:numPr>
        <w:ind w:firstLine="560" w:firstLineChars="200"/>
        <w:rPr>
          <w:rFonts w:ascii="Times New Roman" w:hAnsi="Times New Roman"/>
        </w:rPr>
      </w:pPr>
      <w:r>
        <w:rPr>
          <w:rFonts w:ascii="Times New Roman" w:hAnsi="Times New Roman"/>
        </w:rPr>
        <w:t>7.10.3竣工图纸</w:t>
      </w:r>
    </w:p>
    <w:p>
      <w:pPr>
        <w:pStyle w:val="4"/>
        <w:keepNext w:val="0"/>
        <w:numPr>
          <w:ilvl w:val="0"/>
          <w:numId w:val="0"/>
        </w:numPr>
        <w:ind w:firstLine="560" w:firstLineChars="200"/>
        <w:rPr>
          <w:rFonts w:ascii="Times New Roman" w:hAnsi="Times New Roman"/>
        </w:rPr>
      </w:pPr>
      <w:r>
        <w:rPr>
          <w:rFonts w:ascii="Times New Roman" w:hAnsi="Times New Roman"/>
        </w:rPr>
        <w:t>（a）乙方1应对照有关规范和数据表制定一整套工程实施的竣工记录。该记录应表明所实施工作的确切竣工位置、尺寸及设备的参数、技术指标、功能的详细说明。这些记录应妥善保存并完全用于本项目之目的，在竣工验收之前应提交两套副本给甲方。</w:t>
      </w:r>
    </w:p>
    <w:p>
      <w:pPr>
        <w:pStyle w:val="4"/>
        <w:keepNext w:val="0"/>
        <w:numPr>
          <w:ilvl w:val="0"/>
          <w:numId w:val="0"/>
        </w:numPr>
        <w:ind w:firstLine="560" w:firstLineChars="200"/>
        <w:rPr>
          <w:rFonts w:ascii="Times New Roman" w:hAnsi="Times New Roman"/>
        </w:rPr>
      </w:pPr>
      <w:r>
        <w:rPr>
          <w:rFonts w:ascii="Times New Roman" w:hAnsi="Times New Roman"/>
        </w:rPr>
        <w:t>（b）在竣工日后七（7）日内，乙方1应按适用法律要求向甲方提交竣工图纸及相关的影像文件、电子文档资料。该图纸应取得勘察、设计和监理单位的认可。</w:t>
      </w:r>
    </w:p>
    <w:p>
      <w:pPr>
        <w:pStyle w:val="4"/>
        <w:keepNext w:val="0"/>
        <w:numPr>
          <w:ilvl w:val="0"/>
          <w:numId w:val="0"/>
        </w:numPr>
        <w:ind w:firstLine="560" w:firstLineChars="200"/>
        <w:rPr>
          <w:rFonts w:ascii="Times New Roman" w:hAnsi="Times New Roman"/>
        </w:rPr>
      </w:pPr>
      <w:r>
        <w:rPr>
          <w:rFonts w:ascii="Times New Roman" w:hAnsi="Times New Roman"/>
        </w:rPr>
        <w:t>7.10.4知识产权</w:t>
      </w:r>
    </w:p>
    <w:p>
      <w:pPr>
        <w:pStyle w:val="4"/>
        <w:keepNext w:val="0"/>
        <w:numPr>
          <w:ilvl w:val="0"/>
          <w:numId w:val="0"/>
        </w:numPr>
        <w:ind w:firstLine="560" w:firstLineChars="200"/>
        <w:rPr>
          <w:rFonts w:ascii="Times New Roman" w:hAnsi="Times New Roman"/>
        </w:rPr>
      </w:pPr>
      <w:r>
        <w:rPr>
          <w:rFonts w:ascii="Times New Roman" w:hAnsi="Times New Roman"/>
        </w:rPr>
        <w:t>（a）乙方1应保证项目工程的必要知识和经验均不会侵犯任何第三方的权利。如构成侵权，由乙方1和乙方2自行承担赔偿责任。</w:t>
      </w:r>
    </w:p>
    <w:p>
      <w:pPr>
        <w:pStyle w:val="4"/>
        <w:keepNext w:val="0"/>
        <w:numPr>
          <w:ilvl w:val="0"/>
          <w:numId w:val="0"/>
        </w:numPr>
        <w:ind w:firstLine="560" w:firstLineChars="200"/>
        <w:rPr>
          <w:rFonts w:ascii="Times New Roman" w:hAnsi="Times New Roman"/>
        </w:rPr>
      </w:pPr>
      <w:r>
        <w:rPr>
          <w:rFonts w:ascii="Times New Roman" w:hAnsi="Times New Roman"/>
        </w:rPr>
        <w:t>（b）在项目工程建设过程中，乙方1用到某一专利时而乙方1不是此知识产权的所有人时，乙方1应保证项目工程有权使用该专利。</w:t>
      </w:r>
    </w:p>
    <w:p>
      <w:pPr>
        <w:pStyle w:val="4"/>
        <w:keepNext w:val="0"/>
        <w:numPr>
          <w:ilvl w:val="0"/>
          <w:numId w:val="0"/>
        </w:numPr>
        <w:ind w:firstLine="560" w:firstLineChars="200"/>
        <w:rPr>
          <w:rFonts w:ascii="Times New Roman" w:hAnsi="Times New Roman"/>
        </w:rPr>
      </w:pPr>
      <w:r>
        <w:rPr>
          <w:rFonts w:ascii="Times New Roman" w:hAnsi="Times New Roman"/>
        </w:rPr>
        <w:t>（c）乙方1应保障并保持甲方免受由于乙方1的项目工程施工或实施、设备的使用以及项目工程的正确使用时产生与之有关的任何索赔引起的损害。</w:t>
      </w:r>
    </w:p>
    <w:p>
      <w:pPr>
        <w:pStyle w:val="3"/>
        <w:keepNext w:val="0"/>
        <w:keepLines w:val="0"/>
        <w:widowControl w:val="0"/>
        <w:numPr>
          <w:ilvl w:val="0"/>
          <w:numId w:val="0"/>
        </w:numPr>
        <w:rPr>
          <w:rFonts w:ascii="Times New Roman" w:hAnsi="Times New Roman"/>
        </w:rPr>
      </w:pPr>
      <w:bookmarkStart w:id="109" w:name="_Toc482120702"/>
      <w:r>
        <w:rPr>
          <w:rFonts w:ascii="Times New Roman" w:hAnsi="Times New Roman"/>
        </w:rPr>
        <w:t xml:space="preserve"> </w:t>
      </w:r>
      <w:bookmarkStart w:id="110" w:name="_Toc68593539"/>
      <w:r>
        <w:rPr>
          <w:rFonts w:ascii="Times New Roman" w:hAnsi="Times New Roman"/>
        </w:rPr>
        <w:t>7.11  职员与劳工</w:t>
      </w:r>
      <w:bookmarkEnd w:id="109"/>
      <w:bookmarkEnd w:id="110"/>
    </w:p>
    <w:p>
      <w:pPr>
        <w:pStyle w:val="4"/>
        <w:keepNext w:val="0"/>
        <w:numPr>
          <w:ilvl w:val="0"/>
          <w:numId w:val="0"/>
        </w:numPr>
        <w:ind w:firstLine="560" w:firstLineChars="200"/>
        <w:rPr>
          <w:rFonts w:ascii="Times New Roman" w:hAnsi="Times New Roman"/>
        </w:rPr>
      </w:pPr>
      <w:r>
        <w:rPr>
          <w:rFonts w:ascii="Times New Roman" w:hAnsi="Times New Roman"/>
        </w:rPr>
        <w:t>7.11.1乙方1应按交通部《关于进一步加强公路项目建设单位管理的若干意见》（交公路发〔2011〕438号）要求，成立各职能部门和配备足够的工程技术管理人员。</w:t>
      </w:r>
    </w:p>
    <w:p>
      <w:pPr>
        <w:pStyle w:val="4"/>
        <w:keepNext w:val="0"/>
        <w:numPr>
          <w:ilvl w:val="0"/>
          <w:numId w:val="0"/>
        </w:numPr>
        <w:ind w:firstLine="560" w:firstLineChars="200"/>
        <w:rPr>
          <w:rFonts w:ascii="Times New Roman" w:hAnsi="Times New Roman"/>
        </w:rPr>
      </w:pPr>
      <w:r>
        <w:rPr>
          <w:rFonts w:ascii="Times New Roman" w:hAnsi="Times New Roman"/>
        </w:rPr>
        <w:t>7.11.2乙方1人员的变动</w:t>
      </w:r>
    </w:p>
    <w:p>
      <w:pPr>
        <w:pStyle w:val="4"/>
        <w:keepNext w:val="0"/>
        <w:numPr>
          <w:ilvl w:val="0"/>
          <w:numId w:val="0"/>
        </w:numPr>
        <w:ind w:firstLine="560" w:firstLineChars="200"/>
        <w:rPr>
          <w:rFonts w:ascii="Times New Roman" w:hAnsi="Times New Roman"/>
        </w:rPr>
      </w:pPr>
      <w:r>
        <w:rPr>
          <w:rFonts w:ascii="Times New Roman" w:hAnsi="Times New Roman"/>
        </w:rPr>
        <w:t>（a）乙方1的主要管理人员应按本合同签订时所报人员到位，原则上不得变动，特殊情况下需变动时，应提前七（7）日获得甲方的批准。</w:t>
      </w:r>
    </w:p>
    <w:p>
      <w:pPr>
        <w:pStyle w:val="4"/>
        <w:keepNext w:val="0"/>
        <w:numPr>
          <w:ilvl w:val="0"/>
          <w:numId w:val="0"/>
        </w:numPr>
        <w:ind w:firstLine="560" w:firstLineChars="200"/>
        <w:rPr>
          <w:rFonts w:ascii="Times New Roman" w:hAnsi="Times New Roman"/>
        </w:rPr>
      </w:pPr>
      <w:bookmarkStart w:id="111" w:name="page41"/>
      <w:bookmarkEnd w:id="111"/>
      <w:r>
        <w:rPr>
          <w:rFonts w:ascii="Times New Roman" w:hAnsi="Times New Roman"/>
        </w:rPr>
        <w:t>（b）若乙方1的主要管理人员不能满足履行本合同条件的要求，应甲方的要求乙方1应及时更换或增加人员。</w:t>
      </w:r>
    </w:p>
    <w:p>
      <w:pPr>
        <w:pStyle w:val="4"/>
        <w:keepNext w:val="0"/>
        <w:numPr>
          <w:ilvl w:val="0"/>
          <w:numId w:val="0"/>
        </w:numPr>
        <w:ind w:firstLine="560" w:firstLineChars="200"/>
        <w:rPr>
          <w:rFonts w:ascii="Times New Roman" w:hAnsi="Times New Roman"/>
        </w:rPr>
      </w:pPr>
      <w:r>
        <w:rPr>
          <w:rFonts w:ascii="Times New Roman" w:hAnsi="Times New Roman"/>
        </w:rPr>
        <w:t>7.11.3工资标准与劳动条件</w:t>
      </w:r>
    </w:p>
    <w:p>
      <w:pPr>
        <w:pStyle w:val="4"/>
        <w:keepNext w:val="0"/>
        <w:numPr>
          <w:ilvl w:val="0"/>
          <w:numId w:val="0"/>
        </w:numPr>
        <w:ind w:firstLine="560" w:firstLineChars="200"/>
        <w:rPr>
          <w:rFonts w:ascii="Times New Roman" w:hAnsi="Times New Roman"/>
        </w:rPr>
      </w:pPr>
      <w:r>
        <w:rPr>
          <w:rFonts w:ascii="Times New Roman" w:hAnsi="Times New Roman"/>
        </w:rPr>
        <w:t>乙方1应按照适用法律要求雇佣职员和劳工，所付的工资标准及遵守的劳动条件应不低于其从事工作的地区同行业标准和条件。</w:t>
      </w:r>
    </w:p>
    <w:p>
      <w:pPr>
        <w:pStyle w:val="4"/>
        <w:keepNext w:val="0"/>
        <w:numPr>
          <w:ilvl w:val="0"/>
          <w:numId w:val="0"/>
        </w:numPr>
        <w:ind w:firstLine="560" w:firstLineChars="200"/>
        <w:rPr>
          <w:rFonts w:ascii="Times New Roman" w:hAnsi="Times New Roman"/>
        </w:rPr>
      </w:pPr>
      <w:r>
        <w:rPr>
          <w:rFonts w:ascii="Times New Roman" w:hAnsi="Times New Roman"/>
        </w:rPr>
        <w:t>7.11.4劳动法</w:t>
      </w:r>
    </w:p>
    <w:p>
      <w:pPr>
        <w:pStyle w:val="4"/>
        <w:keepNext w:val="0"/>
        <w:numPr>
          <w:ilvl w:val="0"/>
          <w:numId w:val="0"/>
        </w:numPr>
        <w:ind w:firstLine="560" w:firstLineChars="200"/>
        <w:rPr>
          <w:rFonts w:ascii="Times New Roman" w:hAnsi="Times New Roman"/>
        </w:rPr>
      </w:pPr>
      <w:r>
        <w:rPr>
          <w:rFonts w:ascii="Times New Roman" w:hAnsi="Times New Roman"/>
        </w:rPr>
        <w:t>乙方1应遵守适用法律规定，按时向职员和劳工合理支付报酬，以及保障其享有法律规定的所有权利，并应要求其全体雇员遵守与安全工作有关的所有适用法律。</w:t>
      </w:r>
    </w:p>
    <w:p>
      <w:pPr>
        <w:pStyle w:val="4"/>
        <w:keepNext w:val="0"/>
        <w:numPr>
          <w:ilvl w:val="0"/>
          <w:numId w:val="0"/>
        </w:numPr>
        <w:ind w:firstLine="560" w:firstLineChars="200"/>
        <w:rPr>
          <w:rFonts w:ascii="Times New Roman" w:hAnsi="Times New Roman"/>
        </w:rPr>
      </w:pPr>
      <w:r>
        <w:rPr>
          <w:rFonts w:ascii="Times New Roman" w:hAnsi="Times New Roman"/>
        </w:rPr>
        <w:t>7.11.5为员工提供必要的设施</w:t>
      </w:r>
    </w:p>
    <w:p>
      <w:pPr>
        <w:pStyle w:val="4"/>
        <w:keepNext w:val="0"/>
        <w:numPr>
          <w:ilvl w:val="0"/>
          <w:numId w:val="0"/>
        </w:numPr>
        <w:ind w:firstLine="560" w:firstLineChars="200"/>
        <w:rPr>
          <w:rFonts w:ascii="Times New Roman" w:hAnsi="Times New Roman"/>
        </w:rPr>
      </w:pPr>
      <w:r>
        <w:rPr>
          <w:rFonts w:ascii="Times New Roman" w:hAnsi="Times New Roman"/>
        </w:rPr>
        <w:t>乙方1应为其职员和劳工提供并维护所有必须的食宿及福利设施，不允许其任何职员和劳工在构成工程部分的建筑物、构筑物内保留任何临时或永久的居住场所。</w:t>
      </w:r>
    </w:p>
    <w:p>
      <w:pPr>
        <w:pStyle w:val="4"/>
        <w:keepNext w:val="0"/>
        <w:numPr>
          <w:ilvl w:val="0"/>
          <w:numId w:val="0"/>
        </w:numPr>
        <w:ind w:firstLine="560" w:firstLineChars="200"/>
        <w:rPr>
          <w:rFonts w:ascii="Times New Roman" w:hAnsi="Times New Roman"/>
        </w:rPr>
      </w:pPr>
      <w:r>
        <w:rPr>
          <w:rFonts w:ascii="Times New Roman" w:hAnsi="Times New Roman"/>
        </w:rPr>
        <w:t>7.11.6健康与安全</w:t>
      </w:r>
    </w:p>
    <w:p>
      <w:pPr>
        <w:pStyle w:val="4"/>
        <w:keepNext w:val="0"/>
        <w:numPr>
          <w:ilvl w:val="0"/>
          <w:numId w:val="0"/>
        </w:numPr>
        <w:ind w:firstLine="560" w:firstLineChars="200"/>
        <w:rPr>
          <w:rFonts w:ascii="Times New Roman" w:hAnsi="Times New Roman"/>
        </w:rPr>
      </w:pPr>
      <w:r>
        <w:rPr>
          <w:rFonts w:ascii="Times New Roman" w:hAnsi="Times New Roman"/>
        </w:rPr>
        <w:t>乙方1应采取预防措施以保证其职员和劳工的健康与安全，与卫生部门合作并按其要求，自始至终在住地和现场确保配备医务人员、急救设施以及救护服务。还应作出适当安排，提供所有必要的福利及卫生条件，并防止传染病的发生，并应在现场指派一名职员负责现场所有人员的安全并防止事故的发生。该人员应能胜任此项工作，并有权发布指示及采取预防安全事故发生的保护措施。</w:t>
      </w:r>
    </w:p>
    <w:p>
      <w:pPr>
        <w:pStyle w:val="4"/>
        <w:keepNext w:val="0"/>
        <w:numPr>
          <w:ilvl w:val="0"/>
          <w:numId w:val="0"/>
        </w:numPr>
        <w:ind w:firstLine="560" w:firstLineChars="200"/>
        <w:rPr>
          <w:rFonts w:ascii="Times New Roman" w:hAnsi="Times New Roman"/>
        </w:rPr>
      </w:pPr>
      <w:r>
        <w:rPr>
          <w:rFonts w:ascii="Times New Roman" w:hAnsi="Times New Roman"/>
        </w:rPr>
        <w:t>7.11.7工作时间</w:t>
      </w:r>
    </w:p>
    <w:p>
      <w:pPr>
        <w:pStyle w:val="4"/>
        <w:keepNext w:val="0"/>
        <w:numPr>
          <w:ilvl w:val="0"/>
          <w:numId w:val="0"/>
        </w:numPr>
        <w:ind w:firstLine="560" w:firstLineChars="200"/>
        <w:rPr>
          <w:rFonts w:ascii="Times New Roman" w:hAnsi="Times New Roman"/>
        </w:rPr>
      </w:pPr>
      <w:bookmarkStart w:id="112" w:name="page42"/>
      <w:bookmarkEnd w:id="112"/>
      <w:r>
        <w:rPr>
          <w:rFonts w:ascii="Times New Roman" w:hAnsi="Times New Roman"/>
        </w:rPr>
        <w:t>乙方1应遵守劳动法有关职工工作时间的规定。</w:t>
      </w:r>
    </w:p>
    <w:p>
      <w:pPr>
        <w:pStyle w:val="4"/>
        <w:keepNext w:val="0"/>
        <w:numPr>
          <w:ilvl w:val="0"/>
          <w:numId w:val="0"/>
        </w:numPr>
        <w:ind w:firstLine="560" w:firstLineChars="200"/>
        <w:rPr>
          <w:rFonts w:ascii="Times New Roman" w:hAnsi="Times New Roman"/>
        </w:rPr>
      </w:pPr>
      <w:r>
        <w:rPr>
          <w:rFonts w:ascii="Times New Roman" w:hAnsi="Times New Roman"/>
        </w:rPr>
        <w:t>7.11.8农民工工资保障机制</w:t>
      </w:r>
    </w:p>
    <w:p>
      <w:pPr>
        <w:pStyle w:val="4"/>
        <w:keepNext w:val="0"/>
        <w:numPr>
          <w:ilvl w:val="0"/>
          <w:numId w:val="0"/>
        </w:numPr>
        <w:ind w:firstLine="560" w:firstLineChars="200"/>
        <w:rPr>
          <w:rFonts w:ascii="Times New Roman" w:hAnsi="Times New Roman"/>
        </w:rPr>
      </w:pPr>
      <w:r>
        <w:rPr>
          <w:rFonts w:ascii="Times New Roman" w:hAnsi="Times New Roman"/>
        </w:rPr>
        <w:t>乙方1应按照《保障农民工工资支付条例》、陕西省交通运输厅《关于根治拖欠农民工工资专项整治实施方案》（陕交函〔2019〕950号）及有关农民工工资保障适用的相关规定建立农民工工资保障机制。</w:t>
      </w:r>
    </w:p>
    <w:p>
      <w:pPr>
        <w:pStyle w:val="4"/>
        <w:keepNext w:val="0"/>
        <w:numPr>
          <w:ilvl w:val="0"/>
          <w:numId w:val="0"/>
        </w:numPr>
        <w:ind w:firstLine="560" w:firstLineChars="200"/>
        <w:rPr>
          <w:rFonts w:ascii="Times New Roman" w:hAnsi="Times New Roman"/>
        </w:rPr>
      </w:pPr>
      <w:r>
        <w:rPr>
          <w:rFonts w:ascii="Times New Roman" w:hAnsi="Times New Roman"/>
        </w:rPr>
        <w:t>乙方1应确保施工单位及时足额支付农民工工资，若未按时支付造成不良影响，甲方有权兑取履约保证金直接支付农民工工资，乙方2应按照本合同履约保证金相关条款规定及时补足履约保证金。</w:t>
      </w:r>
    </w:p>
    <w:p>
      <w:pPr>
        <w:pStyle w:val="3"/>
        <w:keepNext w:val="0"/>
        <w:keepLines w:val="0"/>
        <w:widowControl w:val="0"/>
        <w:numPr>
          <w:ilvl w:val="0"/>
          <w:numId w:val="0"/>
        </w:numPr>
        <w:rPr>
          <w:rFonts w:ascii="Times New Roman" w:hAnsi="Times New Roman"/>
        </w:rPr>
      </w:pPr>
      <w:bookmarkStart w:id="113" w:name="_Toc68593540"/>
      <w:bookmarkStart w:id="114" w:name="_Toc482120703"/>
      <w:r>
        <w:rPr>
          <w:rFonts w:ascii="Times New Roman" w:hAnsi="Times New Roman"/>
        </w:rPr>
        <w:t>7.12  工程设备、材料和工艺</w:t>
      </w:r>
      <w:bookmarkEnd w:id="113"/>
      <w:bookmarkEnd w:id="114"/>
    </w:p>
    <w:p>
      <w:pPr>
        <w:pStyle w:val="4"/>
        <w:keepNext w:val="0"/>
        <w:numPr>
          <w:ilvl w:val="0"/>
          <w:numId w:val="0"/>
        </w:numPr>
        <w:ind w:firstLine="560" w:firstLineChars="200"/>
        <w:rPr>
          <w:rFonts w:ascii="Times New Roman" w:hAnsi="Times New Roman"/>
        </w:rPr>
      </w:pPr>
      <w:r>
        <w:rPr>
          <w:rFonts w:ascii="Times New Roman" w:hAnsi="Times New Roman"/>
        </w:rPr>
        <w:t>7.12.1拟提供的全部工程设备和材料，以及准备进行的所有工作，均应按照本合同规定的方法制造、加工与实施。如果本合同中未规定制造与实施的方法，则该项工作应按照公认的行业惯例，使用适当的装备设施以及安全的材料，以恰当、熟练和谨慎的方式实施。乙方1应负责采购、运输、接收、支付、装卸以及安全储存为完成项目工程所需的全部工程设备、材料及其他物品。乙方1应在制造、加工、安装、实施期间，对按本合同规定所提供的全部工程设备和材料的原料与工艺，进行检查、审核与检验，并对制造进度进行审查。</w:t>
      </w:r>
    </w:p>
    <w:p>
      <w:pPr>
        <w:pStyle w:val="4"/>
        <w:keepNext w:val="0"/>
        <w:numPr>
          <w:ilvl w:val="0"/>
          <w:numId w:val="0"/>
        </w:numPr>
        <w:ind w:firstLine="560" w:firstLineChars="200"/>
        <w:rPr>
          <w:rFonts w:ascii="Times New Roman" w:hAnsi="Times New Roman"/>
        </w:rPr>
      </w:pPr>
      <w:r>
        <w:rPr>
          <w:rFonts w:ascii="Times New Roman" w:hAnsi="Times New Roman"/>
        </w:rPr>
        <w:t>7.12.2如果从检查、审核或检验的结果看，任何工程设备、材料或工艺存在缺陷或不符合本合同的其他规定，乙方1应立即修复上述缺陷并保证工程设备、材料或工艺符合本合同规定。</w:t>
      </w:r>
    </w:p>
    <w:p>
      <w:pPr>
        <w:pStyle w:val="3"/>
        <w:keepNext w:val="0"/>
        <w:keepLines w:val="0"/>
        <w:widowControl w:val="0"/>
        <w:numPr>
          <w:ilvl w:val="0"/>
          <w:numId w:val="0"/>
        </w:numPr>
        <w:rPr>
          <w:rFonts w:ascii="Times New Roman" w:hAnsi="Times New Roman"/>
        </w:rPr>
      </w:pPr>
      <w:bookmarkStart w:id="115" w:name="page43"/>
      <w:bookmarkEnd w:id="115"/>
      <w:bookmarkStart w:id="116" w:name="_Toc68593541"/>
      <w:bookmarkStart w:id="117" w:name="_Toc482120704"/>
      <w:r>
        <w:rPr>
          <w:rFonts w:ascii="Times New Roman" w:hAnsi="Times New Roman"/>
        </w:rPr>
        <w:t>7.13  开工、延误、暂停和复工</w:t>
      </w:r>
      <w:bookmarkEnd w:id="116"/>
      <w:bookmarkEnd w:id="117"/>
    </w:p>
    <w:p>
      <w:pPr>
        <w:pStyle w:val="4"/>
        <w:keepNext w:val="0"/>
        <w:numPr>
          <w:ilvl w:val="0"/>
          <w:numId w:val="0"/>
        </w:numPr>
        <w:ind w:firstLine="560" w:firstLineChars="200"/>
        <w:rPr>
          <w:rFonts w:ascii="Times New Roman" w:hAnsi="Times New Roman"/>
        </w:rPr>
      </w:pPr>
      <w:r>
        <w:rPr>
          <w:rFonts w:ascii="Times New Roman" w:hAnsi="Times New Roman"/>
        </w:rPr>
        <w:t>7.13.1开工</w:t>
      </w:r>
    </w:p>
    <w:p>
      <w:pPr>
        <w:pStyle w:val="4"/>
        <w:keepNext w:val="0"/>
        <w:numPr>
          <w:ilvl w:val="0"/>
          <w:numId w:val="0"/>
        </w:numPr>
        <w:ind w:firstLine="560" w:firstLineChars="200"/>
        <w:rPr>
          <w:rFonts w:ascii="Times New Roman" w:hAnsi="Times New Roman"/>
        </w:rPr>
      </w:pPr>
      <w:r>
        <w:rPr>
          <w:rFonts w:ascii="Times New Roman" w:hAnsi="Times New Roman"/>
        </w:rPr>
        <w:t>乙方1应在招标文件规定的开工日或之前开工。此后，乙方1应按制定的工程进度计划的要求组织实施。</w:t>
      </w:r>
    </w:p>
    <w:p>
      <w:pPr>
        <w:pStyle w:val="4"/>
        <w:keepNext w:val="0"/>
        <w:numPr>
          <w:ilvl w:val="0"/>
          <w:numId w:val="0"/>
        </w:numPr>
        <w:ind w:firstLine="560" w:firstLineChars="200"/>
        <w:rPr>
          <w:rFonts w:ascii="Times New Roman" w:hAnsi="Times New Roman"/>
        </w:rPr>
      </w:pPr>
      <w:r>
        <w:rPr>
          <w:rFonts w:ascii="Times New Roman" w:hAnsi="Times New Roman"/>
        </w:rPr>
        <w:t>7.13.2延误</w:t>
      </w:r>
    </w:p>
    <w:p>
      <w:pPr>
        <w:pStyle w:val="4"/>
        <w:keepNext w:val="0"/>
        <w:numPr>
          <w:ilvl w:val="0"/>
          <w:numId w:val="0"/>
        </w:numPr>
        <w:ind w:firstLine="560" w:firstLineChars="200"/>
        <w:rPr>
          <w:rFonts w:ascii="Times New Roman" w:hAnsi="Times New Roman"/>
        </w:rPr>
      </w:pPr>
      <w:r>
        <w:rPr>
          <w:rFonts w:ascii="Times New Roman" w:hAnsi="Times New Roman"/>
        </w:rPr>
        <w:t>（a）由于非乙方1且非乙方2原因造成项目工期延误，经甲方书面批准后，项目工期可予以顺延，特许经营期相应顺延，运营期不变。</w:t>
      </w:r>
    </w:p>
    <w:p>
      <w:pPr>
        <w:pStyle w:val="4"/>
        <w:keepNext w:val="0"/>
        <w:numPr>
          <w:ilvl w:val="0"/>
          <w:numId w:val="0"/>
        </w:numPr>
        <w:ind w:firstLine="560" w:firstLineChars="200"/>
        <w:rPr>
          <w:rFonts w:ascii="Times New Roman" w:hAnsi="Times New Roman"/>
        </w:rPr>
      </w:pPr>
      <w:r>
        <w:rPr>
          <w:rFonts w:ascii="Times New Roman" w:hAnsi="Times New Roman"/>
        </w:rPr>
        <w:t>（b）由于乙方1或乙方2的原因造成工程实际进度落后于经甲方认可的工程进度计划时，则视为乙方1工程延误。乙方1和乙方2应及时修订施工进度计划，采取措施加快施工进度，以确保实际进度同工程进度计划相一致。</w:t>
      </w:r>
    </w:p>
    <w:p>
      <w:pPr>
        <w:pStyle w:val="4"/>
        <w:keepNext w:val="0"/>
        <w:numPr>
          <w:ilvl w:val="0"/>
          <w:numId w:val="0"/>
        </w:numPr>
        <w:ind w:firstLine="560" w:firstLineChars="200"/>
        <w:rPr>
          <w:rFonts w:ascii="Times New Roman" w:hAnsi="Times New Roman"/>
        </w:rPr>
      </w:pPr>
      <w:r>
        <w:rPr>
          <w:rFonts w:ascii="Times New Roman" w:hAnsi="Times New Roman"/>
        </w:rPr>
        <w:t>7.13.3暂停</w:t>
      </w:r>
    </w:p>
    <w:p>
      <w:pPr>
        <w:pStyle w:val="4"/>
        <w:keepNext w:val="0"/>
        <w:numPr>
          <w:ilvl w:val="0"/>
          <w:numId w:val="0"/>
        </w:numPr>
        <w:ind w:firstLine="560" w:firstLineChars="200"/>
        <w:rPr>
          <w:rFonts w:ascii="Times New Roman" w:hAnsi="Times New Roman"/>
        </w:rPr>
      </w:pPr>
      <w:r>
        <w:rPr>
          <w:rFonts w:ascii="Times New Roman" w:hAnsi="Times New Roman"/>
        </w:rPr>
        <w:t>甲方出于公众利益、公共安全或不可抗力原因，可随时指示乙方1和乙方2暂停进行部分或全部工程。在暂停期间，乙方1和乙方2应保护、保管以及保障该部分或全部工程免遭任何损蚀、损失或损害。若此类暂时停工是由于非乙方1且非乙方2原因造成的，经甲方书面批准后，项目工期予以顺延，特许经营期相应顺延。若暂时停工是由于乙方1或乙方2原因造成的，则项目工期不予顺延，同时甲方可按照全部履约保证金的万分之五/日兑取履约保证金作为违约金，以上履约保函金额不足时，乙方2应在甲方限定期限内向甲方支付未交纳的违约金。</w:t>
      </w:r>
    </w:p>
    <w:p>
      <w:pPr>
        <w:pStyle w:val="4"/>
        <w:keepNext w:val="0"/>
        <w:numPr>
          <w:ilvl w:val="0"/>
          <w:numId w:val="0"/>
        </w:numPr>
        <w:ind w:firstLine="560" w:firstLineChars="200"/>
        <w:rPr>
          <w:rFonts w:ascii="Times New Roman" w:hAnsi="Times New Roman"/>
        </w:rPr>
      </w:pPr>
      <w:r>
        <w:rPr>
          <w:rFonts w:ascii="Times New Roman" w:hAnsi="Times New Roman"/>
        </w:rPr>
        <w:t>7.13.4复工</w:t>
      </w:r>
    </w:p>
    <w:p>
      <w:pPr>
        <w:pStyle w:val="4"/>
        <w:keepNext w:val="0"/>
        <w:numPr>
          <w:ilvl w:val="0"/>
          <w:numId w:val="0"/>
        </w:numPr>
        <w:ind w:firstLine="560" w:firstLineChars="200"/>
        <w:rPr>
          <w:rFonts w:ascii="Times New Roman" w:hAnsi="Times New Roman"/>
        </w:rPr>
      </w:pPr>
      <w:r>
        <w:rPr>
          <w:rFonts w:ascii="Times New Roman" w:hAnsi="Times New Roman"/>
        </w:rPr>
        <w:t>在收到甲方发出的继续施工的许可或指示后，乙方1和乙方2应立即组织复工，并修复在暂</w:t>
      </w:r>
      <w:bookmarkStart w:id="118" w:name="page44"/>
      <w:bookmarkEnd w:id="118"/>
      <w:r>
        <w:rPr>
          <w:rFonts w:ascii="Times New Roman" w:hAnsi="Times New Roman"/>
        </w:rPr>
        <w:t>停期间发生在工程或工程设备或材料中的任何损蚀、损失或损害，相关费用由乙方1和乙方2承担。</w:t>
      </w:r>
    </w:p>
    <w:p>
      <w:pPr>
        <w:pStyle w:val="3"/>
        <w:keepNext w:val="0"/>
        <w:keepLines w:val="0"/>
        <w:widowControl w:val="0"/>
        <w:numPr>
          <w:ilvl w:val="0"/>
          <w:numId w:val="0"/>
        </w:numPr>
        <w:rPr>
          <w:rFonts w:ascii="Times New Roman" w:hAnsi="Times New Roman"/>
        </w:rPr>
      </w:pPr>
      <w:bookmarkStart w:id="119" w:name="_Toc482120705"/>
      <w:bookmarkStart w:id="120" w:name="_Toc68593542"/>
      <w:r>
        <w:rPr>
          <w:rFonts w:ascii="Times New Roman" w:hAnsi="Times New Roman"/>
        </w:rPr>
        <w:t>7.14  交工和竣工验收</w:t>
      </w:r>
      <w:bookmarkEnd w:id="119"/>
      <w:bookmarkEnd w:id="120"/>
    </w:p>
    <w:p>
      <w:pPr>
        <w:pStyle w:val="4"/>
        <w:keepNext w:val="0"/>
        <w:numPr>
          <w:ilvl w:val="0"/>
          <w:numId w:val="0"/>
        </w:numPr>
        <w:ind w:firstLine="560" w:firstLineChars="200"/>
        <w:rPr>
          <w:rFonts w:ascii="Times New Roman" w:hAnsi="Times New Roman"/>
        </w:rPr>
      </w:pPr>
      <w:r>
        <w:rPr>
          <w:rFonts w:ascii="Times New Roman" w:hAnsi="Times New Roman"/>
        </w:rPr>
        <w:t>7.14.1交工验收</w:t>
      </w:r>
    </w:p>
    <w:p>
      <w:pPr>
        <w:pStyle w:val="4"/>
        <w:keepNext w:val="0"/>
        <w:numPr>
          <w:ilvl w:val="0"/>
          <w:numId w:val="0"/>
        </w:numPr>
        <w:ind w:firstLine="560" w:firstLineChars="200"/>
        <w:rPr>
          <w:rFonts w:ascii="Times New Roman" w:hAnsi="Times New Roman"/>
        </w:rPr>
      </w:pPr>
      <w:r>
        <w:rPr>
          <w:rFonts w:ascii="Times New Roman" w:hAnsi="Times New Roman"/>
        </w:rPr>
        <w:t>（a）乙方1应在约定交工日前实现项目工程交工，按交通运输部《公路工程竣（交）工验收办法》的有关规定进行交工验收。</w:t>
      </w:r>
    </w:p>
    <w:p>
      <w:pPr>
        <w:pStyle w:val="4"/>
        <w:keepNext w:val="0"/>
        <w:numPr>
          <w:ilvl w:val="0"/>
          <w:numId w:val="0"/>
        </w:numPr>
        <w:ind w:firstLine="560" w:firstLineChars="200"/>
        <w:rPr>
          <w:rFonts w:ascii="Times New Roman" w:hAnsi="Times New Roman"/>
        </w:rPr>
      </w:pPr>
      <w:r>
        <w:rPr>
          <w:rFonts w:ascii="Times New Roman" w:hAnsi="Times New Roman"/>
        </w:rPr>
        <w:t>（b）交工验收由乙方1主持，甲方派代表参加。交工验收的内容和程序应按交通运输部《公路工程竣（交）工验收办法》的有关规定执行。</w:t>
      </w:r>
    </w:p>
    <w:p>
      <w:pPr>
        <w:pStyle w:val="4"/>
        <w:keepNext w:val="0"/>
        <w:numPr>
          <w:ilvl w:val="0"/>
          <w:numId w:val="0"/>
        </w:numPr>
        <w:ind w:firstLine="560" w:firstLineChars="200"/>
        <w:rPr>
          <w:rFonts w:ascii="Times New Roman" w:hAnsi="Times New Roman"/>
        </w:rPr>
      </w:pPr>
      <w:r>
        <w:rPr>
          <w:rFonts w:ascii="Times New Roman" w:hAnsi="Times New Roman"/>
        </w:rPr>
        <w:t>（c）交工验收合格后，乙方1应按甲方规定的要求及时完成交工验收报告，并向甲方备案。甲方在十五（15）日内未对备案的交工验收报告提出异议，乙方1可签发交工证书、开放交通，项目进入试运营阶段。</w:t>
      </w:r>
    </w:p>
    <w:p>
      <w:pPr>
        <w:pStyle w:val="4"/>
        <w:keepNext w:val="0"/>
        <w:numPr>
          <w:ilvl w:val="0"/>
          <w:numId w:val="0"/>
        </w:numPr>
        <w:ind w:firstLine="560" w:firstLineChars="200"/>
        <w:rPr>
          <w:rFonts w:ascii="Times New Roman" w:hAnsi="Times New Roman"/>
        </w:rPr>
      </w:pPr>
      <w:r>
        <w:rPr>
          <w:rFonts w:ascii="Times New Roman" w:hAnsi="Times New Roman"/>
        </w:rPr>
        <w:t>（d）未经交工验收或交工验收不合格项目不得进入试运行、也不得报请竣工验收。</w:t>
      </w:r>
    </w:p>
    <w:p>
      <w:pPr>
        <w:pStyle w:val="4"/>
        <w:keepNext w:val="0"/>
        <w:numPr>
          <w:ilvl w:val="0"/>
          <w:numId w:val="0"/>
        </w:numPr>
        <w:ind w:firstLine="560" w:firstLineChars="200"/>
        <w:rPr>
          <w:rFonts w:ascii="Times New Roman" w:hAnsi="Times New Roman"/>
        </w:rPr>
      </w:pPr>
      <w:r>
        <w:rPr>
          <w:rFonts w:ascii="Times New Roman" w:hAnsi="Times New Roman"/>
        </w:rPr>
        <w:t>（e）经两次整改或完善仍未达到交工验收标准，甲方有权提前终止合同，并兑取履约保证金的全部金额。</w:t>
      </w:r>
    </w:p>
    <w:p>
      <w:pPr>
        <w:pStyle w:val="4"/>
        <w:keepNext w:val="0"/>
        <w:numPr>
          <w:ilvl w:val="0"/>
          <w:numId w:val="0"/>
        </w:numPr>
        <w:ind w:firstLine="560" w:firstLineChars="200"/>
        <w:rPr>
          <w:rFonts w:ascii="Times New Roman" w:hAnsi="Times New Roman"/>
        </w:rPr>
      </w:pPr>
      <w:r>
        <w:rPr>
          <w:rFonts w:ascii="Times New Roman" w:hAnsi="Times New Roman"/>
        </w:rPr>
        <w:t>（f）项目工程交工验收并不免除乙方1对本项目中的建设缺陷所承担的义务或责任。</w:t>
      </w:r>
    </w:p>
    <w:p>
      <w:pPr>
        <w:pStyle w:val="4"/>
        <w:keepNext w:val="0"/>
        <w:numPr>
          <w:ilvl w:val="0"/>
          <w:numId w:val="0"/>
        </w:numPr>
        <w:ind w:firstLine="560" w:firstLineChars="200"/>
        <w:rPr>
          <w:rFonts w:ascii="Times New Roman" w:hAnsi="Times New Roman"/>
        </w:rPr>
      </w:pPr>
      <w:r>
        <w:rPr>
          <w:rFonts w:ascii="Times New Roman" w:hAnsi="Times New Roman"/>
        </w:rPr>
        <w:t>7.14.2竣工验收</w:t>
      </w:r>
    </w:p>
    <w:p>
      <w:pPr>
        <w:pStyle w:val="4"/>
        <w:keepNext w:val="0"/>
        <w:numPr>
          <w:ilvl w:val="0"/>
          <w:numId w:val="0"/>
        </w:numPr>
        <w:ind w:firstLine="560" w:firstLineChars="200"/>
        <w:rPr>
          <w:rFonts w:ascii="Times New Roman" w:hAnsi="Times New Roman"/>
        </w:rPr>
      </w:pPr>
      <w:r>
        <w:rPr>
          <w:rFonts w:ascii="Times New Roman" w:hAnsi="Times New Roman"/>
        </w:rPr>
        <w:t>（a）乙方1应按交通运输部《公路工程竣（交）工验收办法》的有关规定的竣工验收时间、内容和程序向行业主管部门提出竣工验收申请，并配合完成竣工验收。</w:t>
      </w:r>
      <w:bookmarkStart w:id="121" w:name="page45"/>
      <w:bookmarkEnd w:id="121"/>
    </w:p>
    <w:p>
      <w:pPr>
        <w:pStyle w:val="4"/>
        <w:keepNext w:val="0"/>
        <w:numPr>
          <w:ilvl w:val="0"/>
          <w:numId w:val="0"/>
        </w:numPr>
        <w:ind w:firstLine="560" w:firstLineChars="200"/>
        <w:rPr>
          <w:rFonts w:ascii="Times New Roman" w:hAnsi="Times New Roman"/>
        </w:rPr>
      </w:pPr>
      <w:r>
        <w:rPr>
          <w:rFonts w:ascii="Times New Roman" w:hAnsi="Times New Roman"/>
        </w:rPr>
        <w:t>（b）在考虑竣工验收结果时，甲方代表应考虑甲方对工程的任何使用而对工程的性能或其他特性所产生的影响。一旦工程通过了竣工验收，乙方1应按适用法律规定负责准备有关档案验收的资料。</w:t>
      </w:r>
    </w:p>
    <w:p>
      <w:pPr>
        <w:pStyle w:val="4"/>
        <w:keepNext w:val="0"/>
        <w:numPr>
          <w:ilvl w:val="0"/>
          <w:numId w:val="0"/>
        </w:numPr>
        <w:ind w:firstLine="560" w:firstLineChars="200"/>
        <w:rPr>
          <w:rFonts w:ascii="Times New Roman" w:hAnsi="Times New Roman"/>
        </w:rPr>
      </w:pPr>
      <w:r>
        <w:rPr>
          <w:rFonts w:ascii="Times New Roman" w:hAnsi="Times New Roman"/>
        </w:rPr>
        <w:t>（c）乙方1应当自竣工验收合格之日起七（7）日内，依适用法律规定，向甲方提交竣工备案所需的资料，以便甲方向有关部门备案时使用。</w:t>
      </w:r>
    </w:p>
    <w:p>
      <w:pPr>
        <w:pStyle w:val="4"/>
        <w:keepNext w:val="0"/>
        <w:numPr>
          <w:ilvl w:val="0"/>
          <w:numId w:val="0"/>
        </w:numPr>
        <w:ind w:firstLine="560" w:firstLineChars="200"/>
        <w:rPr>
          <w:rFonts w:ascii="Times New Roman" w:hAnsi="Times New Roman"/>
        </w:rPr>
      </w:pPr>
      <w:r>
        <w:rPr>
          <w:rFonts w:ascii="Times New Roman" w:hAnsi="Times New Roman"/>
        </w:rPr>
        <w:t>7.14.3如因乙方1原因导致工程存在某一方面的瑕疵致使工程未通过竣工验收，竣工验收不合格，甲方有权根据实际道路安全通行状况，封闭全线或部分段落交通，并暂停乙方1的收费权、广告经营权、服务区设施经营权。乙方1应当根据有关验收部门的意见及时采取措施予以整改或完善，并再次申请进行相关验收，直到通过验收为止，恢复通行及其收费权、广告经营权、服务区设施经营权，相关费用由乙方1自行承担。</w:t>
      </w:r>
    </w:p>
    <w:p>
      <w:pPr>
        <w:pStyle w:val="4"/>
        <w:keepNext w:val="0"/>
        <w:numPr>
          <w:ilvl w:val="0"/>
          <w:numId w:val="0"/>
        </w:numPr>
        <w:ind w:firstLine="560" w:firstLineChars="200"/>
        <w:rPr>
          <w:rFonts w:ascii="Times New Roman" w:hAnsi="Times New Roman"/>
        </w:rPr>
      </w:pPr>
      <w:r>
        <w:rPr>
          <w:rFonts w:ascii="Times New Roman" w:hAnsi="Times New Roman"/>
        </w:rPr>
        <w:t>7.14.4经两次整改或完善仍未达到竣工验收标准，甲方有权不承担违约责任的同时提前终止合同，并兑取履约保证金的全部金额。</w:t>
      </w:r>
    </w:p>
    <w:p>
      <w:pPr>
        <w:pStyle w:val="4"/>
        <w:keepNext w:val="0"/>
        <w:numPr>
          <w:ilvl w:val="0"/>
          <w:numId w:val="0"/>
        </w:numPr>
        <w:ind w:firstLine="560" w:firstLineChars="200"/>
        <w:rPr>
          <w:rFonts w:ascii="Times New Roman" w:hAnsi="Times New Roman"/>
        </w:rPr>
      </w:pPr>
      <w:r>
        <w:rPr>
          <w:rFonts w:ascii="Times New Roman" w:hAnsi="Times New Roman"/>
        </w:rPr>
        <w:t>7.14.5当项目工程根据本合同已完工并通过竣工验收，且项目档案资料备案后七（7）日内，甲方应向乙方1签发竣工证书。</w:t>
      </w:r>
    </w:p>
    <w:p>
      <w:pPr>
        <w:pStyle w:val="4"/>
        <w:keepNext w:val="0"/>
        <w:numPr>
          <w:ilvl w:val="0"/>
          <w:numId w:val="0"/>
        </w:numPr>
        <w:ind w:firstLine="560" w:firstLineChars="200"/>
        <w:rPr>
          <w:rFonts w:ascii="Times New Roman" w:hAnsi="Times New Roman"/>
        </w:rPr>
      </w:pPr>
      <w:r>
        <w:rPr>
          <w:rFonts w:ascii="Times New Roman" w:hAnsi="Times New Roman"/>
        </w:rPr>
        <w:t>7.14.6项目竣工验收合格后，乙方1应及时向甲方提供完整的工程决算及相关档案。</w:t>
      </w:r>
    </w:p>
    <w:p>
      <w:pPr>
        <w:pStyle w:val="4"/>
        <w:keepNext w:val="0"/>
        <w:numPr>
          <w:ilvl w:val="0"/>
          <w:numId w:val="0"/>
        </w:numPr>
        <w:ind w:firstLine="560" w:firstLineChars="200"/>
        <w:rPr>
          <w:rFonts w:ascii="Times New Roman" w:hAnsi="Times New Roman"/>
        </w:rPr>
      </w:pPr>
      <w:r>
        <w:rPr>
          <w:rFonts w:ascii="Times New Roman" w:hAnsi="Times New Roman"/>
        </w:rPr>
        <w:t>7.14.7环保、水保、档案等专项验收</w:t>
      </w:r>
      <w:bookmarkStart w:id="122" w:name="page46"/>
      <w:bookmarkEnd w:id="122"/>
    </w:p>
    <w:p>
      <w:pPr>
        <w:pStyle w:val="4"/>
        <w:keepNext w:val="0"/>
        <w:numPr>
          <w:ilvl w:val="0"/>
          <w:numId w:val="0"/>
        </w:numPr>
        <w:ind w:firstLine="560" w:firstLineChars="200"/>
        <w:rPr>
          <w:rFonts w:ascii="Times New Roman" w:hAnsi="Times New Roman"/>
        </w:rPr>
      </w:pPr>
      <w:r>
        <w:rPr>
          <w:rFonts w:ascii="Times New Roman" w:hAnsi="Times New Roman"/>
        </w:rPr>
        <w:t>（a）按照有关规定，乙方1应当向审批该建设项目环境影响报告书、环境影响报告表或者环境影响登记表的环境行政主管部门申请环境保护设施竣工验收。</w:t>
      </w:r>
    </w:p>
    <w:p>
      <w:pPr>
        <w:pStyle w:val="4"/>
        <w:keepNext w:val="0"/>
        <w:numPr>
          <w:ilvl w:val="0"/>
          <w:numId w:val="0"/>
        </w:numPr>
        <w:ind w:firstLine="560" w:firstLineChars="200"/>
        <w:rPr>
          <w:rFonts w:ascii="Times New Roman" w:hAnsi="Times New Roman"/>
        </w:rPr>
      </w:pPr>
      <w:r>
        <w:rPr>
          <w:rFonts w:ascii="Times New Roman" w:hAnsi="Times New Roman"/>
        </w:rPr>
        <w:t>（b）乙方1还应按照国家有关规定，办理水保、档案等专项验收。</w:t>
      </w:r>
    </w:p>
    <w:p>
      <w:pPr>
        <w:pStyle w:val="4"/>
        <w:keepNext w:val="0"/>
        <w:numPr>
          <w:ilvl w:val="0"/>
          <w:numId w:val="0"/>
        </w:numPr>
        <w:ind w:firstLine="560" w:firstLineChars="200"/>
        <w:rPr>
          <w:rFonts w:ascii="Times New Roman" w:hAnsi="Times New Roman"/>
        </w:rPr>
      </w:pPr>
      <w:r>
        <w:rPr>
          <w:rFonts w:ascii="Times New Roman" w:hAnsi="Times New Roman"/>
        </w:rPr>
        <w:t>7.14.8项目竣工验收审计时，乙方1应全力配合做好项目相关审计工作。</w:t>
      </w:r>
    </w:p>
    <w:p>
      <w:pPr>
        <w:pStyle w:val="4"/>
        <w:keepNext w:val="0"/>
        <w:numPr>
          <w:ilvl w:val="0"/>
          <w:numId w:val="0"/>
        </w:numPr>
        <w:ind w:firstLine="560" w:firstLineChars="200"/>
        <w:rPr>
          <w:rFonts w:ascii="Times New Roman" w:hAnsi="Times New Roman"/>
        </w:rPr>
      </w:pPr>
      <w:r>
        <w:rPr>
          <w:rFonts w:ascii="Times New Roman" w:hAnsi="Times New Roman"/>
        </w:rPr>
        <w:t>7.14.9 乙方1建设工程项目竣工验收合格后，乙方1应按甲方要求清理施工现场，将施工临时用地恢复原状（如原土地使用人另有约定的除外）。</w:t>
      </w:r>
    </w:p>
    <w:p>
      <w:pPr>
        <w:pStyle w:val="3"/>
        <w:keepNext w:val="0"/>
        <w:keepLines w:val="0"/>
        <w:widowControl w:val="0"/>
        <w:numPr>
          <w:ilvl w:val="0"/>
          <w:numId w:val="0"/>
        </w:numPr>
        <w:rPr>
          <w:rFonts w:ascii="Times New Roman" w:hAnsi="Times New Roman"/>
        </w:rPr>
      </w:pPr>
      <w:bookmarkStart w:id="123" w:name="_Toc482120706"/>
      <w:bookmarkStart w:id="124" w:name="_Toc68593543"/>
      <w:r>
        <w:rPr>
          <w:rFonts w:ascii="Times New Roman" w:hAnsi="Times New Roman"/>
        </w:rPr>
        <w:t>7.15  质量控制</w:t>
      </w:r>
      <w:bookmarkEnd w:id="123"/>
      <w:bookmarkEnd w:id="124"/>
    </w:p>
    <w:p>
      <w:pPr>
        <w:pStyle w:val="4"/>
        <w:keepNext w:val="0"/>
        <w:numPr>
          <w:ilvl w:val="0"/>
          <w:numId w:val="0"/>
        </w:numPr>
        <w:ind w:firstLine="560" w:firstLineChars="200"/>
        <w:rPr>
          <w:rFonts w:ascii="Times New Roman" w:hAnsi="Times New Roman"/>
        </w:rPr>
      </w:pPr>
      <w:r>
        <w:rPr>
          <w:rFonts w:ascii="Times New Roman" w:hAnsi="Times New Roman"/>
        </w:rPr>
        <w:t>7.15.1质量目标：</w:t>
      </w:r>
    </w:p>
    <w:p>
      <w:pPr>
        <w:pStyle w:val="4"/>
        <w:keepNext w:val="0"/>
        <w:numPr>
          <w:ilvl w:val="0"/>
          <w:numId w:val="0"/>
        </w:numPr>
        <w:ind w:firstLine="560" w:firstLineChars="200"/>
        <w:rPr>
          <w:rFonts w:ascii="Times New Roman" w:hAnsi="Times New Roman"/>
        </w:rPr>
      </w:pPr>
      <w:r>
        <w:rPr>
          <w:rFonts w:ascii="Times New Roman" w:hAnsi="Times New Roman"/>
        </w:rPr>
        <w:t>交工验收的工程质量目标：合格。</w:t>
      </w:r>
    </w:p>
    <w:p>
      <w:pPr>
        <w:pStyle w:val="4"/>
        <w:keepNext w:val="0"/>
        <w:numPr>
          <w:ilvl w:val="0"/>
          <w:numId w:val="0"/>
        </w:numPr>
        <w:ind w:firstLine="560" w:firstLineChars="200"/>
        <w:rPr>
          <w:rFonts w:ascii="Times New Roman" w:hAnsi="Times New Roman"/>
        </w:rPr>
      </w:pPr>
      <w:r>
        <w:rPr>
          <w:rFonts w:ascii="Times New Roman" w:hAnsi="Times New Roman"/>
        </w:rPr>
        <w:t>竣工验收的工程质量目标：优良。</w:t>
      </w:r>
    </w:p>
    <w:p>
      <w:pPr>
        <w:pStyle w:val="4"/>
        <w:keepNext w:val="0"/>
        <w:numPr>
          <w:ilvl w:val="0"/>
          <w:numId w:val="0"/>
        </w:numPr>
        <w:ind w:firstLine="560" w:firstLineChars="200"/>
        <w:rPr>
          <w:rFonts w:ascii="Times New Roman" w:hAnsi="Times New Roman"/>
        </w:rPr>
      </w:pPr>
      <w:r>
        <w:rPr>
          <w:rFonts w:ascii="Times New Roman" w:hAnsi="Times New Roman"/>
        </w:rPr>
        <w:t>7.15.2质量保证和质量控制</w:t>
      </w:r>
    </w:p>
    <w:p>
      <w:pPr>
        <w:pStyle w:val="4"/>
        <w:keepNext w:val="0"/>
        <w:numPr>
          <w:ilvl w:val="0"/>
          <w:numId w:val="0"/>
        </w:numPr>
        <w:ind w:firstLine="560" w:firstLineChars="200"/>
        <w:rPr>
          <w:rFonts w:ascii="Times New Roman" w:hAnsi="Times New Roman"/>
        </w:rPr>
      </w:pPr>
      <w:r>
        <w:rPr>
          <w:rFonts w:ascii="Times New Roman" w:hAnsi="Times New Roman"/>
        </w:rPr>
        <w:t>（a）乙方1应当按照《建设工程质量管理条例》《公路工程质量管理办法》《公路工程质量检验评定标准》《交通运输部关于打造公路水运品质工程的指导意见》等质量工作的法规、规章的规定，和关于高速公路发展理念人本化、项目管理专业化、工程施工标准化、管理手段信息化、日常管理精细化的“五化”标准、品质工程要求以及绿色生态公路建设理念，建立全过程的质量保证体系、安全保证体系。必须确保工程质量符合批准的施工图设计文件、国家现行的工程施工技术规范和技术标准，必须确保施工安全、杜绝重大责任事故。</w:t>
      </w:r>
    </w:p>
    <w:p>
      <w:pPr>
        <w:pStyle w:val="4"/>
        <w:keepNext w:val="0"/>
        <w:numPr>
          <w:ilvl w:val="0"/>
          <w:numId w:val="0"/>
        </w:numPr>
        <w:ind w:firstLine="560" w:firstLineChars="200"/>
        <w:rPr>
          <w:rFonts w:ascii="Times New Roman" w:hAnsi="Times New Roman"/>
        </w:rPr>
      </w:pPr>
      <w:r>
        <w:rPr>
          <w:rFonts w:ascii="Times New Roman" w:hAnsi="Times New Roman"/>
        </w:rPr>
        <w:t>（b）在开工日之前，乙方1应制定工程建设质量保证措施和质量控制计划，并将其报甲方备案。乙方1应在整个建设期执行经备案的质量保证措施和质量控制计划。</w:t>
      </w:r>
      <w:bookmarkStart w:id="125" w:name="page47"/>
      <w:bookmarkEnd w:id="125"/>
    </w:p>
    <w:p>
      <w:pPr>
        <w:pStyle w:val="4"/>
        <w:keepNext w:val="0"/>
        <w:numPr>
          <w:ilvl w:val="0"/>
          <w:numId w:val="0"/>
        </w:numPr>
        <w:ind w:firstLine="560" w:firstLineChars="200"/>
        <w:rPr>
          <w:rFonts w:ascii="Times New Roman" w:hAnsi="Times New Roman"/>
        </w:rPr>
      </w:pPr>
      <w:r>
        <w:rPr>
          <w:rFonts w:ascii="Times New Roman" w:hAnsi="Times New Roman"/>
        </w:rPr>
        <w:t>（c）乙方1应当根据批准的建设工期合理确定施工合同工期，严格按照施工合同工期组织项目建设，不得随意压缩施工合同工期。如遇特殊情况确需缩短施工合同工期的，应与相关单位协商一致，并采取措施确保工程质量。</w:t>
      </w:r>
    </w:p>
    <w:p>
      <w:pPr>
        <w:pStyle w:val="4"/>
        <w:keepNext w:val="0"/>
        <w:numPr>
          <w:ilvl w:val="0"/>
          <w:numId w:val="0"/>
        </w:numPr>
        <w:ind w:firstLine="560" w:firstLineChars="200"/>
        <w:rPr>
          <w:rFonts w:ascii="Times New Roman" w:hAnsi="Times New Roman"/>
        </w:rPr>
      </w:pPr>
      <w:r>
        <w:rPr>
          <w:rFonts w:ascii="Times New Roman" w:hAnsi="Times New Roman"/>
        </w:rPr>
        <w:t>（d）乙方1应积极配合政府各相关部门对项目的工程建设进行的监督检查。</w:t>
      </w:r>
    </w:p>
    <w:p>
      <w:pPr>
        <w:pStyle w:val="4"/>
        <w:keepNext w:val="0"/>
        <w:numPr>
          <w:ilvl w:val="0"/>
          <w:numId w:val="0"/>
        </w:numPr>
        <w:ind w:firstLine="560" w:firstLineChars="200"/>
        <w:rPr>
          <w:rFonts w:ascii="Times New Roman" w:hAnsi="Times New Roman"/>
        </w:rPr>
      </w:pPr>
      <w:r>
        <w:rPr>
          <w:rFonts w:ascii="Times New Roman" w:hAnsi="Times New Roman"/>
        </w:rPr>
        <w:t>7.15.3甲方对质量控制的监督和检查</w:t>
      </w:r>
    </w:p>
    <w:p>
      <w:pPr>
        <w:pStyle w:val="4"/>
        <w:keepNext w:val="0"/>
        <w:numPr>
          <w:ilvl w:val="0"/>
          <w:numId w:val="0"/>
        </w:numPr>
        <w:ind w:firstLine="560" w:firstLineChars="200"/>
        <w:rPr>
          <w:rFonts w:ascii="Times New Roman" w:hAnsi="Times New Roman"/>
        </w:rPr>
      </w:pPr>
      <w:r>
        <w:rPr>
          <w:rFonts w:ascii="Times New Roman" w:hAnsi="Times New Roman"/>
        </w:rPr>
        <w:t>（a）甲方有权在不影响建设进度的前提下对项目工程的建设情况进行监督和检查。</w:t>
      </w:r>
    </w:p>
    <w:p>
      <w:pPr>
        <w:pStyle w:val="4"/>
        <w:keepNext w:val="0"/>
        <w:numPr>
          <w:ilvl w:val="0"/>
          <w:numId w:val="0"/>
        </w:numPr>
        <w:ind w:firstLine="560" w:firstLineChars="200"/>
        <w:rPr>
          <w:rFonts w:ascii="Times New Roman" w:hAnsi="Times New Roman"/>
        </w:rPr>
      </w:pPr>
      <w:r>
        <w:rPr>
          <w:rFonts w:ascii="Times New Roman" w:hAnsi="Times New Roman"/>
        </w:rPr>
        <w:t>（b）乙方1应当提供甲方进入工程场地的便利条件，并对甲方就实施本合同项下监督和检查有关的合理要求予以必要协助。</w:t>
      </w:r>
    </w:p>
    <w:p>
      <w:pPr>
        <w:pStyle w:val="4"/>
        <w:keepNext w:val="0"/>
        <w:numPr>
          <w:ilvl w:val="0"/>
          <w:numId w:val="0"/>
        </w:numPr>
        <w:ind w:firstLine="560" w:firstLineChars="200"/>
        <w:rPr>
          <w:rFonts w:ascii="Times New Roman" w:hAnsi="Times New Roman"/>
        </w:rPr>
      </w:pPr>
      <w:r>
        <w:rPr>
          <w:rFonts w:ascii="Times New Roman" w:hAnsi="Times New Roman"/>
        </w:rPr>
        <w:t>（c）甲方对工程建设的监督和检查不影响也不能替代其他政府部门依法对工程建设的监督和检查。</w:t>
      </w:r>
    </w:p>
    <w:p>
      <w:pPr>
        <w:pStyle w:val="4"/>
        <w:keepNext w:val="0"/>
        <w:numPr>
          <w:ilvl w:val="0"/>
          <w:numId w:val="0"/>
        </w:numPr>
        <w:ind w:firstLine="560" w:firstLineChars="200"/>
        <w:rPr>
          <w:rFonts w:ascii="Times New Roman" w:hAnsi="Times New Roman"/>
        </w:rPr>
      </w:pPr>
      <w:r>
        <w:rPr>
          <w:rFonts w:ascii="Times New Roman" w:hAnsi="Times New Roman"/>
        </w:rPr>
        <w:t>7.15.4有关检查的资料</w:t>
      </w:r>
    </w:p>
    <w:p>
      <w:pPr>
        <w:pStyle w:val="4"/>
        <w:keepNext w:val="0"/>
        <w:numPr>
          <w:ilvl w:val="0"/>
          <w:numId w:val="0"/>
        </w:numPr>
        <w:ind w:firstLine="560" w:firstLineChars="200"/>
        <w:rPr>
          <w:rFonts w:ascii="Times New Roman" w:hAnsi="Times New Roman"/>
        </w:rPr>
      </w:pPr>
      <w:r>
        <w:rPr>
          <w:rFonts w:ascii="Times New Roman" w:hAnsi="Times New Roman"/>
        </w:rPr>
        <w:t>乙方1应当提供甲方进行检查所需的、与特定的检查目的相关的所有方案、设计、文件和资料及必要的复印件。</w:t>
      </w:r>
    </w:p>
    <w:p>
      <w:pPr>
        <w:pStyle w:val="4"/>
        <w:keepNext w:val="0"/>
        <w:numPr>
          <w:ilvl w:val="0"/>
          <w:numId w:val="0"/>
        </w:numPr>
        <w:ind w:firstLine="560" w:firstLineChars="200"/>
        <w:rPr>
          <w:rFonts w:ascii="Times New Roman" w:hAnsi="Times New Roman"/>
        </w:rPr>
      </w:pPr>
      <w:r>
        <w:rPr>
          <w:rFonts w:ascii="Times New Roman" w:hAnsi="Times New Roman"/>
        </w:rPr>
        <w:t>7.15.5不符合质量和安全要求</w:t>
      </w:r>
    </w:p>
    <w:p>
      <w:pPr>
        <w:pStyle w:val="4"/>
        <w:keepNext w:val="0"/>
        <w:numPr>
          <w:ilvl w:val="0"/>
          <w:numId w:val="0"/>
        </w:numPr>
        <w:ind w:firstLine="560" w:firstLineChars="200"/>
        <w:rPr>
          <w:rFonts w:ascii="Times New Roman" w:hAnsi="Times New Roman"/>
        </w:rPr>
      </w:pPr>
      <w:r>
        <w:rPr>
          <w:rFonts w:ascii="Times New Roman" w:hAnsi="Times New Roman"/>
        </w:rPr>
        <w:t>（a）自开工日起至项目工程通过竣工验收后两（2）年内，如果项目工程或其任何部分不符合有关的质量和安全要求，甲方可以就此给予乙方1书面通知，要求其在合理时间纠正缺陷；乙方1应遵照执行，尽快采取补救措施，并承担由此引起的任何费用的增加和延误责任。</w:t>
      </w:r>
    </w:p>
    <w:p>
      <w:pPr>
        <w:pStyle w:val="4"/>
        <w:keepNext w:val="0"/>
        <w:numPr>
          <w:ilvl w:val="0"/>
          <w:numId w:val="0"/>
        </w:numPr>
        <w:ind w:firstLine="560" w:firstLineChars="200"/>
        <w:rPr>
          <w:rFonts w:ascii="Times New Roman" w:hAnsi="Times New Roman"/>
        </w:rPr>
      </w:pPr>
      <w:bookmarkStart w:id="126" w:name="page48"/>
      <w:bookmarkEnd w:id="126"/>
      <w:r>
        <w:rPr>
          <w:rFonts w:ascii="Times New Roman" w:hAnsi="Times New Roman"/>
        </w:rPr>
        <w:t>（b）如果乙方1在收到甲方上述通知后十（10）日内不能或拒绝纠正缺陷，甲方有权自行或委托第三方纠正上述缺陷。在这种情况下，乙方1应为此向甲方支付合理且必要的修理费用。如乙方1拒绝甲方或其委托的第三方进入项目场地进行纠正工作，或者未能按照甲方的要求支付相应的修理费用，甲方有权兑取履约保证金的相应金额，乙方1应赔偿相应的损失。</w:t>
      </w:r>
      <w:bookmarkStart w:id="127" w:name="_Toc482120707"/>
    </w:p>
    <w:p>
      <w:pPr>
        <w:pStyle w:val="3"/>
        <w:keepNext w:val="0"/>
        <w:keepLines w:val="0"/>
        <w:widowControl w:val="0"/>
        <w:numPr>
          <w:ilvl w:val="0"/>
          <w:numId w:val="0"/>
        </w:numPr>
        <w:rPr>
          <w:rFonts w:ascii="Times New Roman" w:hAnsi="Times New Roman"/>
        </w:rPr>
      </w:pPr>
      <w:bookmarkStart w:id="128" w:name="_Toc68593544"/>
      <w:r>
        <w:rPr>
          <w:rFonts w:ascii="Times New Roman" w:hAnsi="Times New Roman"/>
        </w:rPr>
        <w:t>7.16  建设的放弃和甲方介入</w:t>
      </w:r>
      <w:bookmarkEnd w:id="127"/>
      <w:bookmarkEnd w:id="128"/>
    </w:p>
    <w:p>
      <w:pPr>
        <w:pStyle w:val="4"/>
        <w:keepNext w:val="0"/>
        <w:numPr>
          <w:ilvl w:val="0"/>
          <w:numId w:val="0"/>
        </w:numPr>
        <w:ind w:firstLine="560" w:firstLineChars="200"/>
        <w:rPr>
          <w:rFonts w:ascii="Times New Roman" w:hAnsi="Times New Roman"/>
        </w:rPr>
      </w:pPr>
      <w:r>
        <w:rPr>
          <w:rFonts w:ascii="Times New Roman" w:hAnsi="Times New Roman"/>
        </w:rPr>
        <w:t>7.16.1放弃</w:t>
      </w:r>
    </w:p>
    <w:p>
      <w:pPr>
        <w:pStyle w:val="4"/>
        <w:keepNext w:val="0"/>
        <w:numPr>
          <w:ilvl w:val="0"/>
          <w:numId w:val="0"/>
        </w:numPr>
        <w:ind w:firstLine="560" w:firstLineChars="200"/>
        <w:rPr>
          <w:rFonts w:ascii="Times New Roman" w:hAnsi="Times New Roman"/>
        </w:rPr>
      </w:pPr>
      <w:r>
        <w:rPr>
          <w:rFonts w:ascii="Times New Roman" w:hAnsi="Times New Roman"/>
        </w:rPr>
        <w:t>乙方1以书面形式表示放弃本项目建设。</w:t>
      </w:r>
    </w:p>
    <w:p>
      <w:pPr>
        <w:pStyle w:val="4"/>
        <w:keepNext w:val="0"/>
        <w:numPr>
          <w:ilvl w:val="0"/>
          <w:numId w:val="0"/>
        </w:numPr>
        <w:ind w:firstLine="560" w:firstLineChars="200"/>
        <w:rPr>
          <w:rFonts w:ascii="Times New Roman" w:hAnsi="Times New Roman"/>
        </w:rPr>
      </w:pPr>
      <w:r>
        <w:rPr>
          <w:rFonts w:ascii="Times New Roman" w:hAnsi="Times New Roman"/>
        </w:rPr>
        <w:t>7.16.2视为放弃</w:t>
      </w:r>
    </w:p>
    <w:p>
      <w:pPr>
        <w:pStyle w:val="4"/>
        <w:keepNext w:val="0"/>
        <w:numPr>
          <w:ilvl w:val="0"/>
          <w:numId w:val="0"/>
        </w:numPr>
        <w:ind w:firstLine="560" w:firstLineChars="200"/>
        <w:rPr>
          <w:rFonts w:ascii="Times New Roman" w:hAnsi="Times New Roman"/>
        </w:rPr>
      </w:pPr>
      <w:r>
        <w:rPr>
          <w:rFonts w:ascii="Times New Roman" w:hAnsi="Times New Roman"/>
        </w:rPr>
        <w:t>除不可抗力或甲方违约的情况外，如果乙方1出现下列情况，则应视为乙方1已放弃本项目建设：</w:t>
      </w:r>
    </w:p>
    <w:p>
      <w:pPr>
        <w:pStyle w:val="4"/>
        <w:keepNext w:val="0"/>
        <w:numPr>
          <w:ilvl w:val="0"/>
          <w:numId w:val="0"/>
        </w:numPr>
        <w:ind w:firstLine="560" w:firstLineChars="200"/>
        <w:rPr>
          <w:rFonts w:ascii="Times New Roman" w:hAnsi="Times New Roman"/>
        </w:rPr>
      </w:pPr>
      <w:r>
        <w:rPr>
          <w:rFonts w:ascii="Times New Roman" w:hAnsi="Times New Roman"/>
        </w:rPr>
        <w:t>（a）书面通知甲方其已终止任一部分项目工程，且不打算重新开始施工；</w:t>
      </w:r>
    </w:p>
    <w:p>
      <w:pPr>
        <w:pStyle w:val="4"/>
        <w:keepNext w:val="0"/>
        <w:numPr>
          <w:ilvl w:val="0"/>
          <w:numId w:val="0"/>
        </w:numPr>
        <w:ind w:firstLine="560" w:firstLineChars="200"/>
        <w:rPr>
          <w:rFonts w:ascii="Times New Roman" w:hAnsi="Times New Roman"/>
        </w:rPr>
      </w:pPr>
      <w:r>
        <w:rPr>
          <w:rFonts w:ascii="Times New Roman" w:hAnsi="Times New Roman"/>
        </w:rPr>
        <w:t>（b）由于乙方1原因未能在开工日期之后或在接到复工通知之后三十（30）日内开始项目的建设；</w:t>
      </w:r>
    </w:p>
    <w:p>
      <w:pPr>
        <w:pStyle w:val="4"/>
        <w:keepNext w:val="0"/>
        <w:numPr>
          <w:ilvl w:val="0"/>
          <w:numId w:val="0"/>
        </w:numPr>
        <w:ind w:firstLine="560" w:firstLineChars="200"/>
        <w:rPr>
          <w:rFonts w:ascii="Times New Roman" w:hAnsi="Times New Roman"/>
        </w:rPr>
      </w:pPr>
      <w:r>
        <w:rPr>
          <w:rFonts w:ascii="Times New Roman" w:hAnsi="Times New Roman"/>
        </w:rPr>
        <w:t>（c）由于乙方1原因未能在任何不可抗力事件结束后三十（30）日内恢复项目的建设；</w:t>
      </w:r>
    </w:p>
    <w:p>
      <w:pPr>
        <w:pStyle w:val="4"/>
        <w:keepNext w:val="0"/>
        <w:numPr>
          <w:ilvl w:val="0"/>
          <w:numId w:val="0"/>
        </w:numPr>
        <w:ind w:firstLine="560" w:firstLineChars="200"/>
        <w:rPr>
          <w:rFonts w:ascii="Times New Roman" w:hAnsi="Times New Roman"/>
        </w:rPr>
      </w:pPr>
      <w:r>
        <w:rPr>
          <w:rFonts w:ascii="Times New Roman" w:hAnsi="Times New Roman"/>
        </w:rPr>
        <w:t>（d）乙方1出于任何其他原因在交工日前停止工程建设达十五（15）日，直接或通过分包商撤走场地全部或大部分的工作人员。</w:t>
      </w:r>
    </w:p>
    <w:p>
      <w:pPr>
        <w:pStyle w:val="4"/>
        <w:keepNext w:val="0"/>
        <w:numPr>
          <w:ilvl w:val="0"/>
          <w:numId w:val="0"/>
        </w:numPr>
        <w:ind w:firstLine="560" w:firstLineChars="200"/>
        <w:rPr>
          <w:rFonts w:ascii="Times New Roman" w:hAnsi="Times New Roman"/>
        </w:rPr>
      </w:pPr>
      <w:r>
        <w:rPr>
          <w:rFonts w:ascii="Times New Roman" w:hAnsi="Times New Roman"/>
        </w:rPr>
        <w:t>7.16.3甲方介入完成建设</w:t>
      </w:r>
    </w:p>
    <w:p>
      <w:pPr>
        <w:pStyle w:val="4"/>
        <w:keepNext w:val="0"/>
        <w:numPr>
          <w:ilvl w:val="0"/>
          <w:numId w:val="0"/>
        </w:numPr>
        <w:ind w:firstLine="560" w:firstLineChars="200"/>
        <w:rPr>
          <w:rFonts w:ascii="Times New Roman" w:hAnsi="Times New Roman"/>
        </w:rPr>
      </w:pPr>
      <w:r>
        <w:rPr>
          <w:rFonts w:ascii="Times New Roman" w:hAnsi="Times New Roman"/>
        </w:rPr>
        <w:t>（a）甲方介入的条件</w:t>
      </w:r>
      <w:bookmarkStart w:id="129" w:name="page49"/>
      <w:bookmarkEnd w:id="129"/>
    </w:p>
    <w:p>
      <w:pPr>
        <w:pStyle w:val="4"/>
        <w:keepNext w:val="0"/>
        <w:numPr>
          <w:ilvl w:val="0"/>
          <w:numId w:val="0"/>
        </w:numPr>
        <w:ind w:firstLine="560" w:firstLineChars="200"/>
        <w:rPr>
          <w:rFonts w:ascii="Times New Roman" w:hAnsi="Times New Roman"/>
        </w:rPr>
      </w:pPr>
      <w:r>
        <w:rPr>
          <w:rFonts w:ascii="Times New Roman" w:hAnsi="Times New Roman"/>
        </w:rPr>
        <w:t>乙方1出现下列情况之一的，则甲方有权指定第三方取代乙方1承担项目工程的建设，以便实现交工：</w:t>
      </w:r>
    </w:p>
    <w:p>
      <w:pPr>
        <w:pStyle w:val="4"/>
        <w:keepNext w:val="0"/>
        <w:numPr>
          <w:ilvl w:val="0"/>
          <w:numId w:val="0"/>
        </w:numPr>
        <w:ind w:firstLine="560" w:firstLineChars="200"/>
        <w:rPr>
          <w:rFonts w:ascii="Times New Roman" w:hAnsi="Times New Roman"/>
        </w:rPr>
      </w:pPr>
      <w:r>
        <w:rPr>
          <w:rFonts w:ascii="Times New Roman" w:hAnsi="Times New Roman"/>
        </w:rPr>
        <w:t>i.书面表示放弃本项目建设；</w:t>
      </w:r>
    </w:p>
    <w:p>
      <w:pPr>
        <w:pStyle w:val="4"/>
        <w:keepNext w:val="0"/>
        <w:numPr>
          <w:ilvl w:val="0"/>
          <w:numId w:val="0"/>
        </w:numPr>
        <w:ind w:firstLine="560" w:firstLineChars="200"/>
        <w:rPr>
          <w:rFonts w:ascii="Times New Roman" w:hAnsi="Times New Roman"/>
        </w:rPr>
      </w:pPr>
      <w:r>
        <w:rPr>
          <w:rFonts w:ascii="Times New Roman" w:hAnsi="Times New Roman"/>
        </w:rPr>
        <w:t>ii.被视为放弃项目建设。</w:t>
      </w:r>
    </w:p>
    <w:p>
      <w:pPr>
        <w:pStyle w:val="4"/>
        <w:keepNext w:val="0"/>
        <w:numPr>
          <w:ilvl w:val="0"/>
          <w:numId w:val="0"/>
        </w:numPr>
        <w:ind w:firstLine="560" w:firstLineChars="200"/>
        <w:rPr>
          <w:rFonts w:ascii="Times New Roman" w:hAnsi="Times New Roman"/>
        </w:rPr>
      </w:pPr>
      <w:r>
        <w:rPr>
          <w:rFonts w:ascii="Times New Roman" w:hAnsi="Times New Roman"/>
        </w:rPr>
        <w:t>（b）甲方介入建设后，乙方1应与甲方及其指定第三方合作，向其提供所有合理的协助，并确保为本项目提供融资的机构在其融资文件中作出具有相同效果的承诺，以确保项目的建设和交工。</w:t>
      </w:r>
    </w:p>
    <w:p>
      <w:pPr>
        <w:pStyle w:val="4"/>
        <w:keepNext w:val="0"/>
        <w:numPr>
          <w:ilvl w:val="0"/>
          <w:numId w:val="0"/>
        </w:numPr>
        <w:ind w:firstLine="560" w:firstLineChars="200"/>
        <w:rPr>
          <w:rFonts w:ascii="Times New Roman" w:hAnsi="Times New Roman"/>
        </w:rPr>
      </w:pPr>
      <w:r>
        <w:rPr>
          <w:rFonts w:ascii="Times New Roman" w:hAnsi="Times New Roman"/>
        </w:rPr>
        <w:t>（c）甲方介入本项目的建设，不应被视为根据本合同受让了项目资产或承担了乙方1的义务。</w:t>
      </w:r>
    </w:p>
    <w:p>
      <w:pPr>
        <w:pStyle w:val="4"/>
        <w:keepNext w:val="0"/>
        <w:numPr>
          <w:ilvl w:val="0"/>
          <w:numId w:val="0"/>
        </w:numPr>
        <w:ind w:firstLine="560" w:firstLineChars="200"/>
        <w:rPr>
          <w:rFonts w:ascii="Times New Roman" w:hAnsi="Times New Roman"/>
        </w:rPr>
      </w:pPr>
      <w:r>
        <w:rPr>
          <w:rFonts w:ascii="Times New Roman" w:hAnsi="Times New Roman"/>
        </w:rPr>
        <w:t>除本合同另有规定外，甲方及其指定第三方介入建设所产生的一切费用和风险由乙方1承担。甲方有权在向乙方1提供详细的费用和支出记录后，从履约保证金中兑取该部分款项。如果乙方1已采取了切实可行的措施或提供了有效担保，甲方应撤出项目工程的建设。乙方1应在此时恢复承担全部责任。甲方有权按相关规定降低乙方1信用评价等级，限制乙方1参与本省收费公路特许经营。</w:t>
      </w:r>
    </w:p>
    <w:p>
      <w:pPr>
        <w:pStyle w:val="3"/>
        <w:keepNext w:val="0"/>
        <w:keepLines w:val="0"/>
        <w:widowControl w:val="0"/>
        <w:numPr>
          <w:ilvl w:val="0"/>
          <w:numId w:val="0"/>
        </w:numPr>
        <w:rPr>
          <w:rFonts w:ascii="Times New Roman" w:hAnsi="Times New Roman"/>
        </w:rPr>
      </w:pPr>
      <w:bookmarkStart w:id="130" w:name="_Toc482120708"/>
      <w:bookmarkStart w:id="131" w:name="_Toc68593545"/>
      <w:r>
        <w:rPr>
          <w:rFonts w:ascii="Times New Roman" w:hAnsi="Times New Roman"/>
        </w:rPr>
        <w:t>7.17  建设期考核</w:t>
      </w:r>
      <w:bookmarkEnd w:id="130"/>
      <w:bookmarkEnd w:id="131"/>
    </w:p>
    <w:p>
      <w:pPr>
        <w:pStyle w:val="4"/>
        <w:keepNext w:val="0"/>
        <w:numPr>
          <w:ilvl w:val="0"/>
          <w:numId w:val="0"/>
        </w:numPr>
        <w:ind w:firstLine="560" w:firstLineChars="200"/>
        <w:rPr>
          <w:rFonts w:ascii="Times New Roman" w:hAnsi="Times New Roman"/>
        </w:rPr>
      </w:pPr>
      <w:r>
        <w:rPr>
          <w:rFonts w:hint="eastAsia" w:ascii="Times New Roman" w:hAnsi="Times New Roman"/>
        </w:rPr>
        <w:t>7.17.1</w:t>
      </w:r>
      <w:r>
        <w:rPr>
          <w:rFonts w:ascii="Times New Roman" w:hAnsi="Times New Roman"/>
        </w:rPr>
        <w:t>甲方可依照</w:t>
      </w:r>
      <w:r>
        <w:rPr>
          <w:rFonts w:hint="eastAsia" w:ascii="Times New Roman" w:hAnsi="Times New Roman"/>
        </w:rPr>
        <w:t>《关于印发&lt;政府和社会资本合作（PPP）项目绩效管理操作指引&gt;的通知》（财金〔2020〕13号）、</w:t>
      </w:r>
      <w:r>
        <w:rPr>
          <w:rFonts w:ascii="Times New Roman" w:hAnsi="Times New Roman"/>
        </w:rPr>
        <w:t>《陕西省交通运输厅关于印发&lt;陕西省高速公路PPP项目管理办法（试行）&gt;的通知》（陕交发〔2020〕41号）文件与乙方1制定相应的本项目建设期考核细则，</w:t>
      </w:r>
      <w:r>
        <w:rPr>
          <w:rFonts w:hint="eastAsia" w:ascii="Times New Roman" w:hAnsi="Times New Roman"/>
        </w:rPr>
        <w:t>将乙方1获得的项目收益与当年乙方1或</w:t>
      </w:r>
      <w:r>
        <w:rPr>
          <w:rFonts w:ascii="Times New Roman" w:hAnsi="Times New Roman"/>
        </w:rPr>
        <w:t>乙方</w:t>
      </w:r>
      <w:r>
        <w:rPr>
          <w:rFonts w:hint="eastAsia" w:ascii="Times New Roman" w:hAnsi="Times New Roman"/>
        </w:rPr>
        <w:t>2绩效评价结果挂钩，绩效评价结果未达到相应标准的，甲方将执行建设期考核细则中约定的违约条款，可通过设置影响项目收益的违约金等方式实现。</w:t>
      </w:r>
      <w:r>
        <w:rPr>
          <w:rFonts w:ascii="Times New Roman" w:hAnsi="Times New Roman"/>
        </w:rPr>
        <w:t>乙方1应配合甲方建立相应的机制并接受考核。</w:t>
      </w:r>
      <w:bookmarkStart w:id="132" w:name="page50"/>
      <w:bookmarkEnd w:id="132"/>
      <w:r>
        <w:rPr>
          <w:rFonts w:hint="eastAsia" w:ascii="Times New Roman" w:hAnsi="Times New Roman"/>
        </w:rPr>
        <w:t>建设期绩效考核框架（参考）如下所示：</w:t>
      </w:r>
    </w:p>
    <w:p>
      <w:pPr>
        <w:spacing w:line="360" w:lineRule="auto"/>
        <w:ind w:firstLine="482" w:firstLineChars="200"/>
        <w:jc w:val="center"/>
        <w:rPr>
          <w:rFonts w:ascii="Times New Roman" w:hAnsi="Times New Roman"/>
          <w:b/>
          <w:sz w:val="24"/>
          <w:szCs w:val="24"/>
        </w:rPr>
      </w:pPr>
      <w:r>
        <w:rPr>
          <w:rFonts w:hint="eastAsia" w:ascii="Times New Roman" w:hAnsi="Times New Roman"/>
          <w:b/>
          <w:sz w:val="24"/>
          <w:szCs w:val="24"/>
        </w:rPr>
        <w:t>建设期绩效考核框架</w:t>
      </w:r>
    </w:p>
    <w:tbl>
      <w:tblPr>
        <w:tblStyle w:val="33"/>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56"/>
        <w:gridCol w:w="1656"/>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3" w:type="pct"/>
            <w:shd w:val="clear" w:color="auto" w:fill="auto"/>
            <w:noWrap/>
            <w:vAlign w:val="center"/>
          </w:tcPr>
          <w:p>
            <w:pPr>
              <w:spacing w:line="560" w:lineRule="exact"/>
              <w:jc w:val="center"/>
              <w:rPr>
                <w:rFonts w:ascii="Times New Roman" w:hAnsi="Times New Roman"/>
                <w:sz w:val="24"/>
                <w:szCs w:val="24"/>
              </w:rPr>
            </w:pPr>
            <w:r>
              <w:rPr>
                <w:rFonts w:hint="eastAsia" w:ascii="Times New Roman" w:hAnsi="Times New Roman"/>
                <w:sz w:val="24"/>
                <w:szCs w:val="24"/>
              </w:rPr>
              <w:t>序号</w:t>
            </w:r>
          </w:p>
        </w:tc>
        <w:tc>
          <w:tcPr>
            <w:tcW w:w="948" w:type="pct"/>
            <w:shd w:val="clear" w:color="auto" w:fill="auto"/>
            <w:noWrap/>
            <w:vAlign w:val="center"/>
          </w:tcPr>
          <w:p>
            <w:pPr>
              <w:spacing w:line="560" w:lineRule="exact"/>
              <w:jc w:val="center"/>
              <w:rPr>
                <w:rFonts w:ascii="Times New Roman" w:hAnsi="Times New Roman"/>
                <w:sz w:val="24"/>
                <w:szCs w:val="24"/>
              </w:rPr>
            </w:pPr>
            <w:r>
              <w:rPr>
                <w:rFonts w:ascii="Times New Roman" w:hAnsi="Times New Roman"/>
                <w:sz w:val="24"/>
                <w:szCs w:val="24"/>
              </w:rPr>
              <w:t>一级</w:t>
            </w:r>
            <w:r>
              <w:rPr>
                <w:rFonts w:hint="eastAsia" w:ascii="Times New Roman" w:hAnsi="Times New Roman"/>
                <w:sz w:val="24"/>
                <w:szCs w:val="24"/>
              </w:rPr>
              <w:t>绩效</w:t>
            </w:r>
            <w:r>
              <w:rPr>
                <w:rFonts w:ascii="Times New Roman" w:hAnsi="Times New Roman"/>
                <w:sz w:val="24"/>
                <w:szCs w:val="24"/>
              </w:rPr>
              <w:t>指标</w:t>
            </w:r>
          </w:p>
        </w:tc>
        <w:tc>
          <w:tcPr>
            <w:tcW w:w="948" w:type="pct"/>
            <w:shd w:val="clear" w:color="auto" w:fill="auto"/>
            <w:noWrap/>
            <w:vAlign w:val="center"/>
          </w:tcPr>
          <w:p>
            <w:pPr>
              <w:spacing w:line="560" w:lineRule="exact"/>
              <w:jc w:val="center"/>
              <w:rPr>
                <w:rFonts w:ascii="Times New Roman" w:hAnsi="Times New Roman"/>
                <w:sz w:val="24"/>
                <w:szCs w:val="24"/>
              </w:rPr>
            </w:pPr>
            <w:r>
              <w:rPr>
                <w:rFonts w:ascii="Times New Roman" w:hAnsi="Times New Roman"/>
                <w:sz w:val="24"/>
                <w:szCs w:val="24"/>
              </w:rPr>
              <w:t>二级</w:t>
            </w:r>
            <w:r>
              <w:rPr>
                <w:rFonts w:hint="eastAsia" w:ascii="Times New Roman" w:hAnsi="Times New Roman"/>
                <w:sz w:val="24"/>
                <w:szCs w:val="24"/>
              </w:rPr>
              <w:t>绩效</w:t>
            </w:r>
            <w:r>
              <w:rPr>
                <w:rFonts w:ascii="Times New Roman" w:hAnsi="Times New Roman"/>
                <w:sz w:val="24"/>
                <w:szCs w:val="24"/>
              </w:rPr>
              <w:t>指标</w:t>
            </w:r>
          </w:p>
        </w:tc>
        <w:tc>
          <w:tcPr>
            <w:tcW w:w="2700" w:type="pct"/>
          </w:tcPr>
          <w:p>
            <w:pPr>
              <w:spacing w:line="560" w:lineRule="exact"/>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1</w:t>
            </w: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产出</w:t>
            </w: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竣工验收</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竣工验收情况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vAlign w:val="center"/>
          </w:tcPr>
          <w:p>
            <w:pPr>
              <w:spacing w:line="560" w:lineRule="exact"/>
              <w:jc w:val="center"/>
              <w:rPr>
                <w:rFonts w:ascii="Times New Roman" w:hAnsi="Times New Roman"/>
                <w:sz w:val="24"/>
                <w:szCs w:val="24"/>
              </w:rPr>
            </w:pPr>
            <w:r>
              <w:rPr>
                <w:rFonts w:hint="eastAsia" w:ascii="Times New Roman" w:hAnsi="Times New Roman"/>
                <w:sz w:val="24"/>
                <w:szCs w:val="24"/>
              </w:rPr>
              <w:t>2</w:t>
            </w:r>
          </w:p>
        </w:tc>
        <w:tc>
          <w:tcPr>
            <w:tcW w:w="948" w:type="pct"/>
            <w:vMerge w:val="restar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效果</w:t>
            </w: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社会影响</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新增就业、社会荣誉、重大诉讼、公众舆情与群体性事件等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sz w:val="24"/>
                <w:szCs w:val="24"/>
              </w:rPr>
            </w:pPr>
          </w:p>
        </w:tc>
        <w:tc>
          <w:tcPr>
            <w:tcW w:w="948" w:type="pct"/>
            <w:vMerge w:val="continue"/>
            <w:shd w:val="clear" w:color="auto" w:fill="auto"/>
            <w:vAlign w:val="center"/>
          </w:tcPr>
          <w:p>
            <w:pPr>
              <w:spacing w:line="560" w:lineRule="exact"/>
              <w:jc w:val="center"/>
              <w:rPr>
                <w:rFonts w:ascii="Times New Roman" w:hAnsi="Times New Roman"/>
                <w:sz w:val="24"/>
                <w:szCs w:val="24"/>
              </w:rPr>
            </w:pP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生态影响</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节能减排、环保处罚等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sz w:val="24"/>
                <w:szCs w:val="24"/>
              </w:rPr>
            </w:pPr>
          </w:p>
        </w:tc>
        <w:tc>
          <w:tcPr>
            <w:tcW w:w="948" w:type="pct"/>
            <w:vMerge w:val="continue"/>
            <w:shd w:val="clear" w:color="auto" w:fill="auto"/>
            <w:vAlign w:val="center"/>
          </w:tcPr>
          <w:p>
            <w:pPr>
              <w:spacing w:line="560" w:lineRule="exact"/>
              <w:jc w:val="center"/>
              <w:rPr>
                <w:rFonts w:ascii="Times New Roman" w:hAnsi="Times New Roman"/>
                <w:sz w:val="24"/>
                <w:szCs w:val="24"/>
              </w:rPr>
            </w:pP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可持续性</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资源配置、潜在风险及沟通协调机制等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sz w:val="24"/>
                <w:szCs w:val="24"/>
              </w:rPr>
            </w:pPr>
          </w:p>
        </w:tc>
        <w:tc>
          <w:tcPr>
            <w:tcW w:w="948" w:type="pct"/>
            <w:vMerge w:val="continue"/>
            <w:shd w:val="clear" w:color="auto" w:fill="auto"/>
            <w:vAlign w:val="center"/>
          </w:tcPr>
          <w:p>
            <w:pPr>
              <w:spacing w:line="560" w:lineRule="exact"/>
              <w:jc w:val="center"/>
              <w:rPr>
                <w:rFonts w:ascii="Times New Roman" w:hAnsi="Times New Roman"/>
                <w:sz w:val="24"/>
                <w:szCs w:val="24"/>
              </w:rPr>
            </w:pP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满意度</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政府相关部门、项目实施机构、社会公众（服务对象）满意度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vAlign w:val="center"/>
          </w:tcPr>
          <w:p>
            <w:pPr>
              <w:spacing w:line="560" w:lineRule="exact"/>
              <w:jc w:val="center"/>
              <w:rPr>
                <w:rFonts w:ascii="Times New Roman" w:hAnsi="Times New Roman"/>
                <w:sz w:val="24"/>
                <w:szCs w:val="24"/>
              </w:rPr>
            </w:pPr>
            <w:r>
              <w:rPr>
                <w:rFonts w:hint="eastAsia" w:ascii="Times New Roman" w:hAnsi="Times New Roman"/>
                <w:sz w:val="24"/>
                <w:szCs w:val="24"/>
              </w:rPr>
              <w:t>3</w:t>
            </w:r>
          </w:p>
        </w:tc>
        <w:tc>
          <w:tcPr>
            <w:tcW w:w="948" w:type="pct"/>
            <w:vMerge w:val="restar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管理</w:t>
            </w: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组织管理</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组织架构、人员配置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sz w:val="24"/>
                <w:szCs w:val="24"/>
              </w:rPr>
            </w:pPr>
          </w:p>
        </w:tc>
        <w:tc>
          <w:tcPr>
            <w:tcW w:w="948" w:type="pct"/>
            <w:vMerge w:val="continue"/>
            <w:shd w:val="clear" w:color="auto" w:fill="auto"/>
            <w:vAlign w:val="center"/>
          </w:tcPr>
          <w:p>
            <w:pPr>
              <w:spacing w:line="560" w:lineRule="exact"/>
              <w:jc w:val="center"/>
              <w:rPr>
                <w:rFonts w:ascii="Times New Roman" w:hAnsi="Times New Roman"/>
                <w:sz w:val="24"/>
                <w:szCs w:val="24"/>
              </w:rPr>
            </w:pP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资金管理</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融资资金的到位率和及时性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sz w:val="24"/>
                <w:szCs w:val="24"/>
              </w:rPr>
            </w:pPr>
          </w:p>
        </w:tc>
        <w:tc>
          <w:tcPr>
            <w:tcW w:w="948" w:type="pct"/>
            <w:vMerge w:val="continue"/>
            <w:shd w:val="clear" w:color="auto" w:fill="auto"/>
            <w:vAlign w:val="center"/>
          </w:tcPr>
          <w:p>
            <w:pPr>
              <w:spacing w:line="560" w:lineRule="exact"/>
              <w:jc w:val="center"/>
              <w:rPr>
                <w:rFonts w:ascii="Times New Roman" w:hAnsi="Times New Roman"/>
                <w:sz w:val="24"/>
                <w:szCs w:val="24"/>
              </w:rPr>
            </w:pP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档案管理</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建设资料的完整性、真实性以及归集整理的及时性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vAlign w:val="center"/>
          </w:tcPr>
          <w:p>
            <w:pPr>
              <w:spacing w:line="560" w:lineRule="exact"/>
              <w:jc w:val="center"/>
              <w:rPr>
                <w:rFonts w:ascii="Times New Roman" w:hAnsi="Times New Roman"/>
                <w:sz w:val="24"/>
                <w:szCs w:val="24"/>
              </w:rPr>
            </w:pPr>
          </w:p>
        </w:tc>
        <w:tc>
          <w:tcPr>
            <w:tcW w:w="948" w:type="pct"/>
            <w:vMerge w:val="continue"/>
            <w:shd w:val="clear" w:color="auto" w:fill="auto"/>
            <w:vAlign w:val="center"/>
          </w:tcPr>
          <w:p>
            <w:pPr>
              <w:spacing w:line="560" w:lineRule="exact"/>
              <w:jc w:val="center"/>
              <w:rPr>
                <w:rFonts w:ascii="Times New Roman" w:hAnsi="Times New Roman"/>
                <w:sz w:val="24"/>
                <w:szCs w:val="24"/>
              </w:rPr>
            </w:pPr>
          </w:p>
        </w:tc>
        <w:tc>
          <w:tcPr>
            <w:tcW w:w="948" w:type="pct"/>
            <w:shd w:val="clear" w:color="auto" w:fill="auto"/>
            <w:vAlign w:val="center"/>
          </w:tcPr>
          <w:p>
            <w:pPr>
              <w:spacing w:line="560" w:lineRule="exact"/>
              <w:jc w:val="center"/>
              <w:rPr>
                <w:rFonts w:ascii="Times New Roman" w:hAnsi="Times New Roman"/>
                <w:sz w:val="24"/>
                <w:szCs w:val="24"/>
              </w:rPr>
            </w:pPr>
            <w:r>
              <w:rPr>
                <w:rFonts w:ascii="Times New Roman" w:hAnsi="Times New Roman"/>
                <w:sz w:val="24"/>
                <w:szCs w:val="24"/>
              </w:rPr>
              <w:t>信息公开</w:t>
            </w:r>
          </w:p>
        </w:tc>
        <w:tc>
          <w:tcPr>
            <w:tcW w:w="2700" w:type="pct"/>
            <w:vAlign w:val="center"/>
          </w:tcPr>
          <w:p>
            <w:pPr>
              <w:spacing w:line="560" w:lineRule="exact"/>
              <w:jc w:val="center"/>
              <w:rPr>
                <w:rFonts w:ascii="Times New Roman" w:hAnsi="Times New Roman"/>
                <w:sz w:val="24"/>
                <w:szCs w:val="24"/>
              </w:rPr>
            </w:pPr>
            <w:r>
              <w:rPr>
                <w:rFonts w:ascii="Times New Roman" w:hAnsi="Times New Roman"/>
                <w:sz w:val="24"/>
                <w:szCs w:val="24"/>
              </w:rPr>
              <w:t>项目公司或社会资本</w:t>
            </w:r>
            <w:r>
              <w:rPr>
                <w:rFonts w:hint="eastAsia" w:ascii="Times New Roman" w:hAnsi="Times New Roman"/>
                <w:sz w:val="24"/>
                <w:szCs w:val="24"/>
              </w:rPr>
              <w:t>方</w:t>
            </w:r>
            <w:r>
              <w:rPr>
                <w:rFonts w:ascii="Times New Roman" w:hAnsi="Times New Roman"/>
                <w:sz w:val="24"/>
                <w:szCs w:val="24"/>
              </w:rPr>
              <w:t>履行信息公开义务的及时性与准确性</w:t>
            </w:r>
          </w:p>
        </w:tc>
      </w:tr>
    </w:tbl>
    <w:p>
      <w:pPr>
        <w:pStyle w:val="4"/>
        <w:keepNext w:val="0"/>
        <w:numPr>
          <w:ilvl w:val="0"/>
          <w:numId w:val="0"/>
        </w:numPr>
        <w:ind w:firstLine="560" w:firstLineChars="200"/>
        <w:rPr>
          <w:rFonts w:ascii="Times New Roman" w:hAnsi="Times New Roman"/>
        </w:rPr>
      </w:pPr>
      <w:r>
        <w:rPr>
          <w:rFonts w:ascii="Times New Roman" w:hAnsi="Times New Roman"/>
        </w:rPr>
        <w:t>7.17.2</w:t>
      </w:r>
      <w:r>
        <w:rPr>
          <w:rFonts w:hint="eastAsia" w:ascii="Times New Roman" w:hAnsi="Times New Roman"/>
        </w:rPr>
        <w:t>交通运输主管部门对社会投资人自行施工和公开招标的施工单位进行信用评价，对以上的施工单位的承包业绩进行认定。</w:t>
      </w:r>
    </w:p>
    <w:p>
      <w:pPr>
        <w:spacing w:line="360" w:lineRule="auto"/>
        <w:ind w:left="1470" w:leftChars="700"/>
        <w:rPr>
          <w:rFonts w:ascii="Times New Roman" w:hAnsi="Times New Roman"/>
          <w:bCs/>
          <w:sz w:val="28"/>
          <w:szCs w:val="32"/>
        </w:rPr>
      </w:pPr>
    </w:p>
    <w:p>
      <w:pPr>
        <w:jc w:val="left"/>
        <w:rPr>
          <w:rFonts w:ascii="Times New Roman" w:hAnsi="Times New Roman"/>
          <w:bCs/>
          <w:sz w:val="28"/>
          <w:szCs w:val="32"/>
        </w:rPr>
      </w:pPr>
      <w:r>
        <w:rPr>
          <w:rFonts w:ascii="Times New Roman" w:hAnsi="Times New Roman"/>
          <w:bCs/>
          <w:sz w:val="28"/>
          <w:szCs w:val="32"/>
        </w:rPr>
        <w:br w:type="page"/>
      </w:r>
    </w:p>
    <w:p>
      <w:pPr>
        <w:pStyle w:val="2"/>
        <w:keepNext w:val="0"/>
        <w:ind w:right="0" w:rightChars="0"/>
        <w:rPr>
          <w:rFonts w:ascii="Times New Roman" w:hAnsi="Times New Roman"/>
          <w:lang w:eastAsia="zh-CN"/>
        </w:rPr>
      </w:pPr>
      <w:bookmarkStart w:id="133" w:name="_Toc480978644"/>
      <w:bookmarkStart w:id="134" w:name="_Toc482120709"/>
      <w:bookmarkStart w:id="135" w:name="_Toc68593546"/>
      <w:r>
        <w:rPr>
          <w:rFonts w:ascii="Times New Roman" w:hAnsi="Times New Roman"/>
          <w:lang w:eastAsia="zh-CN"/>
        </w:rPr>
        <w:t>第8条  项目设施运营管理</w:t>
      </w:r>
      <w:bookmarkEnd w:id="133"/>
      <w:bookmarkEnd w:id="134"/>
      <w:bookmarkEnd w:id="135"/>
    </w:p>
    <w:p>
      <w:pPr>
        <w:pStyle w:val="3"/>
        <w:keepNext w:val="0"/>
        <w:keepLines w:val="0"/>
        <w:widowControl w:val="0"/>
        <w:numPr>
          <w:ilvl w:val="0"/>
          <w:numId w:val="0"/>
        </w:numPr>
        <w:rPr>
          <w:rFonts w:ascii="Times New Roman" w:hAnsi="Times New Roman"/>
        </w:rPr>
      </w:pPr>
      <w:bookmarkStart w:id="136" w:name="_Toc68593547"/>
      <w:bookmarkStart w:id="137" w:name="_Toc482120710"/>
      <w:r>
        <w:rPr>
          <w:rFonts w:ascii="Times New Roman" w:hAnsi="Times New Roman"/>
        </w:rPr>
        <w:t>8.1  运营管理</w:t>
      </w:r>
      <w:bookmarkEnd w:id="136"/>
      <w:bookmarkEnd w:id="137"/>
    </w:p>
    <w:p>
      <w:pPr>
        <w:pStyle w:val="4"/>
        <w:keepNext w:val="0"/>
        <w:numPr>
          <w:ilvl w:val="0"/>
          <w:numId w:val="0"/>
        </w:numPr>
        <w:ind w:firstLine="560" w:firstLineChars="200"/>
        <w:rPr>
          <w:rFonts w:ascii="Times New Roman" w:hAnsi="Times New Roman"/>
        </w:rPr>
      </w:pPr>
      <w:r>
        <w:rPr>
          <w:rFonts w:ascii="Times New Roman" w:hAnsi="Times New Roman"/>
        </w:rPr>
        <w:t>8.1.1项目运营管理包括经营管理（收费、服务区、广告等）、养护管理、路政管理和交通管理等内容。</w:t>
      </w:r>
    </w:p>
    <w:p>
      <w:pPr>
        <w:pStyle w:val="4"/>
        <w:keepNext w:val="0"/>
        <w:numPr>
          <w:ilvl w:val="0"/>
          <w:numId w:val="0"/>
        </w:numPr>
        <w:ind w:firstLine="560" w:firstLineChars="200"/>
        <w:rPr>
          <w:rFonts w:ascii="Times New Roman" w:hAnsi="Times New Roman"/>
        </w:rPr>
      </w:pPr>
      <w:r>
        <w:rPr>
          <w:rFonts w:ascii="Times New Roman" w:hAnsi="Times New Roman"/>
        </w:rPr>
        <w:t>8.1.2乙方1应建立健全法人治理结构，根据有关规定及本项目运营管理需求，合理设置职能部门，依法合规配置运营管理人员，配备必要的管理机具、场所，确保该项目高效有序安全运营。</w:t>
      </w:r>
    </w:p>
    <w:p>
      <w:pPr>
        <w:pStyle w:val="4"/>
        <w:keepNext w:val="0"/>
        <w:numPr>
          <w:ilvl w:val="0"/>
          <w:numId w:val="0"/>
        </w:numPr>
        <w:ind w:firstLine="560" w:firstLineChars="200"/>
        <w:rPr>
          <w:rFonts w:ascii="Times New Roman" w:hAnsi="Times New Roman"/>
        </w:rPr>
      </w:pPr>
      <w:r>
        <w:rPr>
          <w:rFonts w:ascii="Times New Roman" w:hAnsi="Times New Roman"/>
        </w:rPr>
        <w:t>8.1.3乙方1应按照相关规定，切实做好收费、服务区设施、广告等经营管理工作；高度重视公路养护管理，为社会提供一流路况服务；配合路政、公安部门做好路产路权维护、交通秩序管理，保护公路设施完整，并提供优良的通行环境。</w:t>
      </w:r>
    </w:p>
    <w:p>
      <w:pPr>
        <w:pStyle w:val="3"/>
        <w:keepNext w:val="0"/>
        <w:keepLines w:val="0"/>
        <w:widowControl w:val="0"/>
        <w:numPr>
          <w:ilvl w:val="0"/>
          <w:numId w:val="0"/>
        </w:numPr>
        <w:rPr>
          <w:rFonts w:ascii="Times New Roman" w:hAnsi="Times New Roman"/>
        </w:rPr>
      </w:pPr>
      <w:bookmarkStart w:id="138" w:name="_Toc68593548"/>
      <w:bookmarkStart w:id="139" w:name="_Toc482120711"/>
      <w:r>
        <w:rPr>
          <w:rFonts w:ascii="Times New Roman" w:hAnsi="Times New Roman"/>
        </w:rPr>
        <w:t>8.2  经营管理</w:t>
      </w:r>
      <w:bookmarkEnd w:id="138"/>
      <w:bookmarkEnd w:id="139"/>
    </w:p>
    <w:p>
      <w:pPr>
        <w:pStyle w:val="4"/>
        <w:keepNext w:val="0"/>
        <w:numPr>
          <w:ilvl w:val="0"/>
          <w:numId w:val="0"/>
        </w:numPr>
        <w:ind w:firstLine="560" w:firstLineChars="200"/>
        <w:rPr>
          <w:rFonts w:ascii="Times New Roman" w:hAnsi="Times New Roman"/>
        </w:rPr>
      </w:pPr>
      <w:r>
        <w:rPr>
          <w:rFonts w:ascii="Times New Roman" w:hAnsi="Times New Roman"/>
        </w:rPr>
        <w:t>8.2.1乙方1对本项目依法享有收费权、广告经营权、服务区设施经营权和经甲方书面同意的其他经营性业务。</w:t>
      </w:r>
    </w:p>
    <w:p>
      <w:pPr>
        <w:pStyle w:val="4"/>
        <w:keepNext w:val="0"/>
        <w:numPr>
          <w:ilvl w:val="0"/>
          <w:numId w:val="0"/>
        </w:numPr>
        <w:ind w:firstLine="560" w:firstLineChars="200"/>
        <w:rPr>
          <w:rFonts w:ascii="Times New Roman" w:hAnsi="Times New Roman"/>
        </w:rPr>
      </w:pPr>
      <w:r>
        <w:rPr>
          <w:rFonts w:ascii="Times New Roman" w:hAnsi="Times New Roman"/>
        </w:rPr>
        <w:t>8.2.2甲方有权随时对乙方1及其收费站点进行稽查。</w:t>
      </w:r>
    </w:p>
    <w:p>
      <w:pPr>
        <w:pStyle w:val="4"/>
        <w:keepNext w:val="0"/>
        <w:numPr>
          <w:ilvl w:val="0"/>
          <w:numId w:val="0"/>
        </w:numPr>
        <w:ind w:firstLine="560" w:firstLineChars="200"/>
        <w:rPr>
          <w:rFonts w:ascii="Times New Roman" w:hAnsi="Times New Roman"/>
        </w:rPr>
      </w:pPr>
      <w:r>
        <w:rPr>
          <w:rFonts w:ascii="Times New Roman" w:hAnsi="Times New Roman"/>
        </w:rPr>
        <w:t>8.2.3乙方1应建立严格的内部稽查制度以确保项目收费工作的正常秩序，保证收费人员严格按照收费标准依法收费，杜绝违纪现象发生。</w:t>
      </w:r>
    </w:p>
    <w:p>
      <w:pPr>
        <w:pStyle w:val="3"/>
        <w:keepNext w:val="0"/>
        <w:keepLines w:val="0"/>
        <w:widowControl w:val="0"/>
        <w:numPr>
          <w:ilvl w:val="0"/>
          <w:numId w:val="0"/>
        </w:numPr>
        <w:rPr>
          <w:rFonts w:ascii="Times New Roman" w:hAnsi="Times New Roman"/>
        </w:rPr>
      </w:pPr>
      <w:bookmarkStart w:id="140" w:name="_Toc68593549"/>
      <w:bookmarkStart w:id="141" w:name="_Toc482120712"/>
      <w:r>
        <w:rPr>
          <w:rFonts w:ascii="Times New Roman" w:hAnsi="Times New Roman"/>
        </w:rPr>
        <w:t>8.3  养护管理</w:t>
      </w:r>
      <w:bookmarkEnd w:id="140"/>
      <w:bookmarkEnd w:id="141"/>
    </w:p>
    <w:p>
      <w:pPr>
        <w:pStyle w:val="4"/>
        <w:keepNext w:val="0"/>
        <w:numPr>
          <w:ilvl w:val="0"/>
          <w:numId w:val="0"/>
        </w:numPr>
        <w:ind w:firstLine="560" w:firstLineChars="200"/>
        <w:rPr>
          <w:rFonts w:ascii="Times New Roman" w:hAnsi="Times New Roman"/>
        </w:rPr>
      </w:pPr>
      <w:r>
        <w:rPr>
          <w:rFonts w:ascii="Times New Roman" w:hAnsi="Times New Roman"/>
        </w:rPr>
        <w:t>8.3.1公路养护包括公路用地范围内的路基路面、桥梁隧道、交通安全、涵洞通道等所有设施，并包括已明确的和公路相交叉的相关设施的维护。</w:t>
      </w:r>
      <w:bookmarkStart w:id="142" w:name="page51"/>
      <w:bookmarkEnd w:id="142"/>
    </w:p>
    <w:p>
      <w:pPr>
        <w:pStyle w:val="4"/>
        <w:keepNext w:val="0"/>
        <w:numPr>
          <w:ilvl w:val="0"/>
          <w:numId w:val="0"/>
        </w:numPr>
        <w:ind w:firstLine="560" w:firstLineChars="200"/>
        <w:rPr>
          <w:rFonts w:ascii="Times New Roman" w:hAnsi="Times New Roman"/>
        </w:rPr>
      </w:pPr>
      <w:r>
        <w:rPr>
          <w:rFonts w:ascii="Times New Roman" w:hAnsi="Times New Roman"/>
        </w:rPr>
        <w:t>8.3.2养护标准</w:t>
      </w:r>
    </w:p>
    <w:p>
      <w:pPr>
        <w:pStyle w:val="4"/>
        <w:keepNext w:val="0"/>
        <w:numPr>
          <w:ilvl w:val="0"/>
          <w:numId w:val="0"/>
        </w:numPr>
        <w:ind w:firstLine="560" w:firstLineChars="200"/>
        <w:rPr>
          <w:rFonts w:ascii="Times New Roman" w:hAnsi="Times New Roman"/>
        </w:rPr>
      </w:pPr>
      <w:r>
        <w:rPr>
          <w:rFonts w:ascii="Times New Roman" w:hAnsi="Times New Roman"/>
        </w:rPr>
        <w:t>乙方1应在运营期内严格落实届时适用的国家公路养护相关法律法规、规范、标准，接受甲方和行业管理单位的监督、检查，并落实相关要求。保证公路设施完好，并处于优良的技术状态。本合同签署时所适用的养护技术标准如下：公路技术状况指数MQI≥93，树木、花草的成活率≥95％，保存率≥95％。为社会提供安全、快速、舒适的高速公路通道。</w:t>
      </w:r>
    </w:p>
    <w:p>
      <w:pPr>
        <w:pStyle w:val="4"/>
        <w:keepNext w:val="0"/>
        <w:numPr>
          <w:ilvl w:val="0"/>
          <w:numId w:val="0"/>
        </w:numPr>
        <w:ind w:firstLine="560" w:firstLineChars="200"/>
        <w:rPr>
          <w:rFonts w:ascii="Times New Roman" w:hAnsi="Times New Roman"/>
        </w:rPr>
      </w:pPr>
      <w:r>
        <w:rPr>
          <w:rFonts w:ascii="Times New Roman" w:hAnsi="Times New Roman"/>
        </w:rPr>
        <w:t>8.3.3在整个运营期内，乙方1应自行承担费用、责任和风险，管理、运营和维护项目设施，使项目设施处于良好的使用状态。</w:t>
      </w:r>
    </w:p>
    <w:p>
      <w:pPr>
        <w:pStyle w:val="4"/>
        <w:keepNext w:val="0"/>
        <w:numPr>
          <w:ilvl w:val="0"/>
          <w:numId w:val="0"/>
        </w:numPr>
        <w:ind w:firstLine="560" w:firstLineChars="200"/>
        <w:rPr>
          <w:rFonts w:ascii="Times New Roman" w:hAnsi="Times New Roman"/>
        </w:rPr>
      </w:pPr>
      <w:r>
        <w:rPr>
          <w:rFonts w:ascii="Times New Roman" w:hAnsi="Times New Roman"/>
        </w:rPr>
        <w:t>8.3.4乙方1应建立健全流程制度管理体系，从制度体系上保障项目顺利运转。</w:t>
      </w:r>
    </w:p>
    <w:p>
      <w:pPr>
        <w:pStyle w:val="4"/>
        <w:keepNext w:val="0"/>
        <w:numPr>
          <w:ilvl w:val="0"/>
          <w:numId w:val="0"/>
        </w:numPr>
        <w:ind w:firstLine="560" w:firstLineChars="200"/>
        <w:rPr>
          <w:rFonts w:ascii="Times New Roman" w:hAnsi="Times New Roman"/>
        </w:rPr>
      </w:pPr>
      <w:r>
        <w:rPr>
          <w:rFonts w:ascii="Times New Roman" w:hAnsi="Times New Roman"/>
        </w:rPr>
        <w:t>8.3.5乙方1应确保始终根据下列规定对项目设施进行运营、维护及更新改造，并承担相应的费用：</w:t>
      </w:r>
    </w:p>
    <w:p>
      <w:pPr>
        <w:pStyle w:val="4"/>
        <w:keepNext w:val="0"/>
        <w:numPr>
          <w:ilvl w:val="0"/>
          <w:numId w:val="0"/>
        </w:numPr>
        <w:ind w:firstLine="560" w:firstLineChars="200"/>
        <w:rPr>
          <w:rFonts w:ascii="Times New Roman" w:hAnsi="Times New Roman"/>
        </w:rPr>
      </w:pPr>
      <w:r>
        <w:rPr>
          <w:rFonts w:ascii="Times New Roman" w:hAnsi="Times New Roman"/>
        </w:rPr>
        <w:t>（a）适用的相关法律；</w:t>
      </w:r>
    </w:p>
    <w:p>
      <w:pPr>
        <w:pStyle w:val="4"/>
        <w:keepNext w:val="0"/>
        <w:numPr>
          <w:ilvl w:val="0"/>
          <w:numId w:val="0"/>
        </w:numPr>
        <w:ind w:firstLine="560" w:firstLineChars="200"/>
        <w:rPr>
          <w:rFonts w:ascii="Times New Roman" w:hAnsi="Times New Roman"/>
        </w:rPr>
      </w:pPr>
      <w:r>
        <w:rPr>
          <w:rFonts w:ascii="Times New Roman" w:hAnsi="Times New Roman"/>
        </w:rPr>
        <w:t>（b）行业技术规范、标准的规定；</w:t>
      </w:r>
    </w:p>
    <w:p>
      <w:pPr>
        <w:pStyle w:val="4"/>
        <w:keepNext w:val="0"/>
        <w:numPr>
          <w:ilvl w:val="0"/>
          <w:numId w:val="0"/>
        </w:numPr>
        <w:ind w:firstLine="560" w:firstLineChars="200"/>
        <w:rPr>
          <w:rFonts w:ascii="Times New Roman" w:hAnsi="Times New Roman"/>
        </w:rPr>
      </w:pPr>
      <w:r>
        <w:rPr>
          <w:rFonts w:ascii="Times New Roman" w:hAnsi="Times New Roman"/>
        </w:rPr>
        <w:t>（c）运营养护手册；</w:t>
      </w:r>
    </w:p>
    <w:p>
      <w:pPr>
        <w:pStyle w:val="4"/>
        <w:keepNext w:val="0"/>
        <w:numPr>
          <w:ilvl w:val="0"/>
          <w:numId w:val="0"/>
        </w:numPr>
        <w:ind w:firstLine="560" w:firstLineChars="200"/>
        <w:rPr>
          <w:rFonts w:ascii="Times New Roman" w:hAnsi="Times New Roman"/>
        </w:rPr>
      </w:pPr>
      <w:r>
        <w:rPr>
          <w:rFonts w:ascii="Times New Roman" w:hAnsi="Times New Roman"/>
        </w:rPr>
        <w:t>（d）本合同的约定；</w:t>
      </w:r>
    </w:p>
    <w:p>
      <w:pPr>
        <w:pStyle w:val="4"/>
        <w:keepNext w:val="0"/>
        <w:numPr>
          <w:ilvl w:val="0"/>
          <w:numId w:val="0"/>
        </w:numPr>
        <w:ind w:firstLine="560" w:firstLineChars="200"/>
        <w:rPr>
          <w:rFonts w:ascii="Times New Roman" w:hAnsi="Times New Roman"/>
        </w:rPr>
      </w:pPr>
      <w:r>
        <w:rPr>
          <w:rFonts w:ascii="Times New Roman" w:hAnsi="Times New Roman"/>
        </w:rPr>
        <w:t>（e）谨慎运营和养护惯例。</w:t>
      </w:r>
    </w:p>
    <w:p>
      <w:pPr>
        <w:pStyle w:val="4"/>
        <w:keepNext w:val="0"/>
        <w:numPr>
          <w:ilvl w:val="0"/>
          <w:numId w:val="0"/>
        </w:numPr>
        <w:ind w:firstLine="560" w:firstLineChars="200"/>
        <w:rPr>
          <w:rFonts w:ascii="Times New Roman" w:hAnsi="Times New Roman"/>
        </w:rPr>
      </w:pPr>
      <w:r>
        <w:rPr>
          <w:rFonts w:ascii="Times New Roman" w:hAnsi="Times New Roman"/>
        </w:rPr>
        <w:t>8.3.6乙方1应按照下述规定的时间和要求向甲方提交相应的资料：乙方1应于每季度第一个月十（10）日前向甲方提交上季度的运营记录。</w:t>
      </w:r>
      <w:bookmarkStart w:id="143" w:name="page52"/>
      <w:bookmarkEnd w:id="143"/>
    </w:p>
    <w:p>
      <w:pPr>
        <w:pStyle w:val="4"/>
        <w:keepNext w:val="0"/>
        <w:numPr>
          <w:ilvl w:val="0"/>
          <w:numId w:val="0"/>
        </w:numPr>
        <w:ind w:firstLine="560" w:firstLineChars="200"/>
        <w:rPr>
          <w:rFonts w:ascii="Times New Roman" w:hAnsi="Times New Roman"/>
        </w:rPr>
      </w:pPr>
      <w:r>
        <w:rPr>
          <w:rFonts w:ascii="Times New Roman" w:hAnsi="Times New Roman"/>
        </w:rPr>
        <w:t>8.3.7运营期内，如因乙方1维护工作不到位引发安全事故的，由乙方1承担相应责任。</w:t>
      </w:r>
    </w:p>
    <w:p>
      <w:pPr>
        <w:pStyle w:val="4"/>
        <w:keepNext w:val="0"/>
        <w:numPr>
          <w:ilvl w:val="0"/>
          <w:numId w:val="0"/>
        </w:numPr>
        <w:ind w:firstLine="560" w:firstLineChars="200"/>
        <w:rPr>
          <w:rFonts w:ascii="Times New Roman" w:hAnsi="Times New Roman"/>
        </w:rPr>
      </w:pPr>
      <w:r>
        <w:rPr>
          <w:rFonts w:ascii="Times New Roman" w:hAnsi="Times New Roman"/>
        </w:rPr>
        <w:t>8.3.8甲方有权指定任何代表在任何时候进入项目设施，以检查项目设施的运营维护情况，但甲方应尽量减少该等检查对项目设施运营维护可能产生的干扰。甲方指定的代表有权检查乙方1的运营维护记录和项目设施检测记录。乙方1应对甲方指定的代表提出的问题作出合理解答。</w:t>
      </w:r>
    </w:p>
    <w:p>
      <w:pPr>
        <w:pStyle w:val="4"/>
        <w:keepNext w:val="0"/>
        <w:numPr>
          <w:ilvl w:val="0"/>
          <w:numId w:val="0"/>
        </w:numPr>
        <w:ind w:firstLine="560" w:firstLineChars="200"/>
        <w:rPr>
          <w:rFonts w:ascii="Times New Roman" w:hAnsi="Times New Roman"/>
        </w:rPr>
      </w:pPr>
      <w:r>
        <w:rPr>
          <w:rFonts w:ascii="Times New Roman" w:hAnsi="Times New Roman"/>
        </w:rPr>
        <w:t>8.3.9运营维护手册</w:t>
      </w:r>
    </w:p>
    <w:p>
      <w:pPr>
        <w:pStyle w:val="4"/>
        <w:keepNext w:val="0"/>
        <w:numPr>
          <w:ilvl w:val="0"/>
          <w:numId w:val="0"/>
        </w:numPr>
        <w:ind w:firstLine="560" w:firstLineChars="200"/>
        <w:rPr>
          <w:rFonts w:ascii="Times New Roman" w:hAnsi="Times New Roman"/>
        </w:rPr>
      </w:pPr>
      <w:r>
        <w:rPr>
          <w:rFonts w:ascii="Times New Roman" w:hAnsi="Times New Roman"/>
        </w:rPr>
        <w:t>（a）在本项目运营日之前，乙方1应根据适用法律和谨慎运营和维护惯例编制运营维护手册。</w:t>
      </w:r>
    </w:p>
    <w:p>
      <w:pPr>
        <w:pStyle w:val="4"/>
        <w:keepNext w:val="0"/>
        <w:numPr>
          <w:ilvl w:val="0"/>
          <w:numId w:val="0"/>
        </w:numPr>
        <w:ind w:firstLine="560" w:firstLineChars="200"/>
        <w:rPr>
          <w:rFonts w:ascii="Times New Roman" w:hAnsi="Times New Roman"/>
        </w:rPr>
      </w:pPr>
      <w:r>
        <w:rPr>
          <w:rFonts w:ascii="Times New Roman" w:hAnsi="Times New Roman"/>
        </w:rPr>
        <w:t>（b）运营维护手册的内容包括进行定期和年度检查、日常运行维护、大修维护和年度维护的程序和计划、调整和改进检验及维护安排的程序和计划、应急抢修抢险预案。</w:t>
      </w:r>
    </w:p>
    <w:p>
      <w:pPr>
        <w:pStyle w:val="4"/>
        <w:keepNext w:val="0"/>
        <w:numPr>
          <w:ilvl w:val="0"/>
          <w:numId w:val="0"/>
        </w:numPr>
        <w:ind w:firstLine="560" w:firstLineChars="200"/>
        <w:rPr>
          <w:rFonts w:ascii="Times New Roman" w:hAnsi="Times New Roman"/>
        </w:rPr>
      </w:pPr>
      <w:r>
        <w:rPr>
          <w:rFonts w:ascii="Times New Roman" w:hAnsi="Times New Roman"/>
        </w:rPr>
        <w:t>（c）运营维护手册在运营期间内应根据项目设施运营维护的实际情况随时进行修改、补充和完善。</w:t>
      </w:r>
    </w:p>
    <w:p>
      <w:pPr>
        <w:pStyle w:val="4"/>
        <w:keepNext w:val="0"/>
        <w:numPr>
          <w:ilvl w:val="0"/>
          <w:numId w:val="0"/>
        </w:numPr>
        <w:ind w:firstLine="560" w:firstLineChars="200"/>
        <w:rPr>
          <w:rFonts w:ascii="Times New Roman" w:hAnsi="Times New Roman"/>
        </w:rPr>
      </w:pPr>
      <w:r>
        <w:rPr>
          <w:rFonts w:ascii="Times New Roman" w:hAnsi="Times New Roman"/>
        </w:rPr>
        <w:t>8.3.10未履行维护义务</w:t>
      </w:r>
    </w:p>
    <w:p>
      <w:pPr>
        <w:pStyle w:val="4"/>
        <w:keepNext w:val="0"/>
        <w:numPr>
          <w:ilvl w:val="0"/>
          <w:numId w:val="0"/>
        </w:numPr>
        <w:ind w:firstLine="560" w:firstLineChars="200"/>
        <w:rPr>
          <w:rFonts w:ascii="Times New Roman" w:hAnsi="Times New Roman"/>
        </w:rPr>
      </w:pPr>
      <w:r>
        <w:rPr>
          <w:rFonts w:ascii="Times New Roman" w:hAnsi="Times New Roman"/>
        </w:rPr>
        <w:t>（a）对乙方1未能按照适用法律和本合同履行养护义务，造成养护质量下降或发生安全事故，甲方有权向乙方1发出整改通知，责令乙方1在限定期限内采取必要措施有效纠正未履行养护义务的行为。</w:t>
      </w:r>
    </w:p>
    <w:p>
      <w:pPr>
        <w:pStyle w:val="4"/>
        <w:keepNext w:val="0"/>
        <w:numPr>
          <w:ilvl w:val="0"/>
          <w:numId w:val="0"/>
        </w:numPr>
        <w:ind w:firstLine="560" w:firstLineChars="200"/>
        <w:rPr>
          <w:rFonts w:ascii="Times New Roman" w:hAnsi="Times New Roman"/>
        </w:rPr>
      </w:pPr>
      <w:r>
        <w:rPr>
          <w:rFonts w:ascii="Times New Roman" w:hAnsi="Times New Roman"/>
        </w:rPr>
        <w:t>（b）如果乙方1未在甲方依上款规定发出的整改通知一（1）日内开始或确定的期限内（孰早）采取必要的措施纠正违约行为，或未能在整改通知确定的期限内有效完成纠正违约行为，则</w:t>
      </w:r>
      <w:bookmarkStart w:id="144" w:name="page53"/>
      <w:bookmarkEnd w:id="144"/>
      <w:r>
        <w:rPr>
          <w:rFonts w:ascii="Times New Roman" w:hAnsi="Times New Roman"/>
        </w:rPr>
        <w:t>甲方可以自行或委托第三方采取必要的纠正措施，乙方1应对此予以配合，并承担因此而发生的全部费用及损失。同时甲方有权对乙方1进行违约处罚，金额为本次维护所产生的全部费用。</w:t>
      </w:r>
    </w:p>
    <w:p>
      <w:pPr>
        <w:pStyle w:val="4"/>
        <w:keepNext w:val="0"/>
        <w:numPr>
          <w:ilvl w:val="0"/>
          <w:numId w:val="0"/>
        </w:numPr>
        <w:ind w:firstLine="560" w:firstLineChars="200"/>
        <w:rPr>
          <w:rFonts w:ascii="Times New Roman" w:hAnsi="Times New Roman"/>
        </w:rPr>
      </w:pPr>
      <w:r>
        <w:rPr>
          <w:rFonts w:ascii="Times New Roman" w:hAnsi="Times New Roman"/>
        </w:rPr>
        <w:t>（c）为采取上述纠正措施而发生的费用，甲方应向乙方1提供所发生费用的详细清单，乙方1应在收到该清单后七（7）个工作日内全额支付清单所列费用；若乙方1对此费用额度有异议，可与甲方共同确定有资质的第三方审计机构进行审计，并在审计完成后五（5）个工作日内按审计结果完成支付；甲方和乙方1必须在五（5）个工作日内完成第三方审计机构的确定。否则，甲方有权从履约保证金中兑取相应款项以支付该清单所列费用。</w:t>
      </w:r>
    </w:p>
    <w:p>
      <w:pPr>
        <w:pStyle w:val="4"/>
        <w:keepNext w:val="0"/>
        <w:numPr>
          <w:ilvl w:val="0"/>
          <w:numId w:val="0"/>
        </w:numPr>
        <w:ind w:firstLine="560" w:firstLineChars="200"/>
        <w:rPr>
          <w:rFonts w:ascii="Times New Roman" w:hAnsi="Times New Roman"/>
        </w:rPr>
      </w:pPr>
      <w:r>
        <w:rPr>
          <w:rFonts w:ascii="Times New Roman" w:hAnsi="Times New Roman"/>
        </w:rPr>
        <w:t>8.3.11运营记录</w:t>
      </w:r>
    </w:p>
    <w:p>
      <w:pPr>
        <w:pStyle w:val="4"/>
        <w:keepNext w:val="0"/>
        <w:numPr>
          <w:ilvl w:val="0"/>
          <w:numId w:val="0"/>
        </w:numPr>
        <w:ind w:firstLine="560" w:firstLineChars="200"/>
        <w:rPr>
          <w:rFonts w:ascii="Times New Roman" w:hAnsi="Times New Roman"/>
        </w:rPr>
      </w:pPr>
      <w:r>
        <w:rPr>
          <w:rFonts w:ascii="Times New Roman" w:hAnsi="Times New Roman"/>
        </w:rPr>
        <w:t>（a）乙方1应建立完整齐全的本项目设施档案。</w:t>
      </w:r>
    </w:p>
    <w:p>
      <w:pPr>
        <w:pStyle w:val="4"/>
        <w:keepNext w:val="0"/>
        <w:numPr>
          <w:ilvl w:val="0"/>
          <w:numId w:val="0"/>
        </w:numPr>
        <w:ind w:firstLine="560" w:firstLineChars="200"/>
        <w:rPr>
          <w:rFonts w:ascii="Times New Roman" w:hAnsi="Times New Roman"/>
        </w:rPr>
      </w:pPr>
      <w:r>
        <w:rPr>
          <w:rFonts w:ascii="Times New Roman" w:hAnsi="Times New Roman"/>
        </w:rPr>
        <w:t>（b）乙方1应建立生产、经营、服务全过程规范的原始记录、统计报表及台帐。</w:t>
      </w:r>
    </w:p>
    <w:p>
      <w:pPr>
        <w:pStyle w:val="4"/>
        <w:keepNext w:val="0"/>
        <w:numPr>
          <w:ilvl w:val="0"/>
          <w:numId w:val="0"/>
        </w:numPr>
        <w:ind w:firstLine="560" w:firstLineChars="200"/>
        <w:rPr>
          <w:rFonts w:ascii="Times New Roman" w:hAnsi="Times New Roman"/>
        </w:rPr>
      </w:pPr>
      <w:r>
        <w:rPr>
          <w:rFonts w:ascii="Times New Roman" w:hAnsi="Times New Roman"/>
        </w:rPr>
        <w:t>（c）乙方1应按照适用法律定期向甲方提供生产以及经营的统计数据。甲方可根据需要，随时要求乙方1对本项目设施的性能和运转情况提供统计资料。</w:t>
      </w:r>
    </w:p>
    <w:p>
      <w:pPr>
        <w:pStyle w:val="3"/>
        <w:keepNext w:val="0"/>
        <w:keepLines w:val="0"/>
        <w:widowControl w:val="0"/>
        <w:numPr>
          <w:ilvl w:val="0"/>
          <w:numId w:val="0"/>
        </w:numPr>
        <w:rPr>
          <w:rFonts w:ascii="Times New Roman" w:hAnsi="Times New Roman"/>
        </w:rPr>
      </w:pPr>
      <w:bookmarkStart w:id="145" w:name="_Toc68593550"/>
      <w:bookmarkStart w:id="146" w:name="_Toc482120713"/>
      <w:r>
        <w:rPr>
          <w:rFonts w:ascii="Times New Roman" w:hAnsi="Times New Roman"/>
        </w:rPr>
        <w:t>8.4  路政管理</w:t>
      </w:r>
      <w:bookmarkEnd w:id="145"/>
      <w:bookmarkEnd w:id="146"/>
    </w:p>
    <w:p>
      <w:pPr>
        <w:pStyle w:val="4"/>
        <w:keepNext w:val="0"/>
        <w:numPr>
          <w:ilvl w:val="0"/>
          <w:numId w:val="0"/>
        </w:numPr>
        <w:ind w:firstLine="560" w:firstLineChars="200"/>
        <w:rPr>
          <w:rFonts w:ascii="Times New Roman" w:hAnsi="Times New Roman"/>
        </w:rPr>
      </w:pPr>
      <w:r>
        <w:rPr>
          <w:rFonts w:ascii="Times New Roman" w:hAnsi="Times New Roman"/>
        </w:rPr>
        <w:t>8.4.1路政管理的工作内容</w:t>
      </w:r>
    </w:p>
    <w:p>
      <w:pPr>
        <w:pStyle w:val="4"/>
        <w:keepNext w:val="0"/>
        <w:numPr>
          <w:ilvl w:val="0"/>
          <w:numId w:val="0"/>
        </w:numPr>
        <w:ind w:firstLine="560" w:firstLineChars="200"/>
        <w:rPr>
          <w:rFonts w:ascii="Times New Roman" w:hAnsi="Times New Roman"/>
        </w:rPr>
      </w:pPr>
      <w:r>
        <w:rPr>
          <w:rFonts w:ascii="Times New Roman" w:hAnsi="Times New Roman"/>
        </w:rPr>
        <w:t>项目的路政管理工作，由甲方或者其设置的公路路政管理机构</w:t>
      </w:r>
      <w:bookmarkStart w:id="147" w:name="page54"/>
      <w:bookmarkEnd w:id="147"/>
      <w:r>
        <w:rPr>
          <w:rFonts w:ascii="Times New Roman" w:hAnsi="Times New Roman"/>
        </w:rPr>
        <w:t>的派出机构、人员负责，乙方1应按陕西省政府相关规定配合执行。乙方1应配合甲方或公路路政管理机构依法履行下列管理职权：</w:t>
      </w:r>
    </w:p>
    <w:p>
      <w:pPr>
        <w:pStyle w:val="4"/>
        <w:keepNext w:val="0"/>
        <w:numPr>
          <w:ilvl w:val="0"/>
          <w:numId w:val="0"/>
        </w:numPr>
        <w:ind w:firstLine="560" w:firstLineChars="200"/>
        <w:rPr>
          <w:rFonts w:ascii="Times New Roman" w:hAnsi="Times New Roman"/>
        </w:rPr>
      </w:pPr>
      <w:r>
        <w:rPr>
          <w:rFonts w:ascii="Times New Roman" w:hAnsi="Times New Roman"/>
        </w:rPr>
        <w:t>（a）宣传、贯彻指定公路管理的法律、法规和规章；</w:t>
      </w:r>
    </w:p>
    <w:p>
      <w:pPr>
        <w:pStyle w:val="4"/>
        <w:keepNext w:val="0"/>
        <w:numPr>
          <w:ilvl w:val="0"/>
          <w:numId w:val="0"/>
        </w:numPr>
        <w:ind w:firstLine="560" w:firstLineChars="200"/>
        <w:rPr>
          <w:rFonts w:ascii="Times New Roman" w:hAnsi="Times New Roman"/>
        </w:rPr>
      </w:pPr>
      <w:r>
        <w:rPr>
          <w:rFonts w:ascii="Times New Roman" w:hAnsi="Times New Roman"/>
        </w:rPr>
        <w:t>（b）保护公路路产；</w:t>
      </w:r>
    </w:p>
    <w:p>
      <w:pPr>
        <w:pStyle w:val="4"/>
        <w:keepNext w:val="0"/>
        <w:numPr>
          <w:ilvl w:val="0"/>
          <w:numId w:val="0"/>
        </w:numPr>
        <w:ind w:firstLine="560" w:firstLineChars="200"/>
        <w:rPr>
          <w:rFonts w:ascii="Times New Roman" w:hAnsi="Times New Roman"/>
        </w:rPr>
      </w:pPr>
      <w:r>
        <w:rPr>
          <w:rFonts w:ascii="Times New Roman" w:hAnsi="Times New Roman"/>
        </w:rPr>
        <w:t>（c）实施全天候路政巡查；</w:t>
      </w:r>
    </w:p>
    <w:p>
      <w:pPr>
        <w:pStyle w:val="4"/>
        <w:keepNext w:val="0"/>
        <w:numPr>
          <w:ilvl w:val="0"/>
          <w:numId w:val="0"/>
        </w:numPr>
        <w:ind w:firstLine="560" w:firstLineChars="200"/>
        <w:rPr>
          <w:rFonts w:ascii="Times New Roman" w:hAnsi="Times New Roman"/>
        </w:rPr>
      </w:pPr>
      <w:r>
        <w:rPr>
          <w:rFonts w:ascii="Times New Roman" w:hAnsi="Times New Roman"/>
        </w:rPr>
        <w:t>（d）管理公路两侧建筑控制区；</w:t>
      </w:r>
    </w:p>
    <w:p>
      <w:pPr>
        <w:pStyle w:val="4"/>
        <w:keepNext w:val="0"/>
        <w:numPr>
          <w:ilvl w:val="0"/>
          <w:numId w:val="0"/>
        </w:numPr>
        <w:ind w:firstLine="560" w:firstLineChars="200"/>
        <w:rPr>
          <w:rFonts w:ascii="Times New Roman" w:hAnsi="Times New Roman"/>
        </w:rPr>
      </w:pPr>
      <w:r>
        <w:rPr>
          <w:rFonts w:ascii="Times New Roman" w:hAnsi="Times New Roman"/>
        </w:rPr>
        <w:t>（e）依照法律及法规，查处和制止各种违章利用、侵占、污染、损坏和破坏路产的行为；</w:t>
      </w:r>
    </w:p>
    <w:p>
      <w:pPr>
        <w:pStyle w:val="4"/>
        <w:keepNext w:val="0"/>
        <w:numPr>
          <w:ilvl w:val="0"/>
          <w:numId w:val="0"/>
        </w:numPr>
        <w:ind w:firstLine="560" w:firstLineChars="200"/>
        <w:rPr>
          <w:rFonts w:ascii="Times New Roman" w:hAnsi="Times New Roman"/>
        </w:rPr>
      </w:pPr>
      <w:r>
        <w:rPr>
          <w:rFonts w:ascii="Times New Roman" w:hAnsi="Times New Roman"/>
        </w:rPr>
        <w:t>（f）维护项目养护、施工作业现场的秩序；</w:t>
      </w:r>
    </w:p>
    <w:p>
      <w:pPr>
        <w:pStyle w:val="4"/>
        <w:keepNext w:val="0"/>
        <w:numPr>
          <w:ilvl w:val="0"/>
          <w:numId w:val="0"/>
        </w:numPr>
        <w:ind w:firstLine="560" w:firstLineChars="200"/>
        <w:rPr>
          <w:rFonts w:ascii="Times New Roman" w:hAnsi="Times New Roman"/>
        </w:rPr>
      </w:pPr>
      <w:r>
        <w:rPr>
          <w:rFonts w:ascii="Times New Roman" w:hAnsi="Times New Roman"/>
        </w:rPr>
        <w:t>（g）维护项目进出口内外秩序、巡查碰损设施标志后逃逸车辆；</w:t>
      </w:r>
    </w:p>
    <w:p>
      <w:pPr>
        <w:pStyle w:val="4"/>
        <w:keepNext w:val="0"/>
        <w:numPr>
          <w:ilvl w:val="0"/>
          <w:numId w:val="0"/>
        </w:numPr>
        <w:ind w:firstLine="560" w:firstLineChars="200"/>
        <w:rPr>
          <w:rFonts w:ascii="Times New Roman" w:hAnsi="Times New Roman"/>
        </w:rPr>
      </w:pPr>
      <w:r>
        <w:rPr>
          <w:rFonts w:ascii="Times New Roman" w:hAnsi="Times New Roman"/>
        </w:rPr>
        <w:t>（h）依法维护公路管理机构排除侵权而拥有的民事权益；</w:t>
      </w:r>
    </w:p>
    <w:p>
      <w:pPr>
        <w:pStyle w:val="4"/>
        <w:keepNext w:val="0"/>
        <w:numPr>
          <w:ilvl w:val="0"/>
          <w:numId w:val="0"/>
        </w:numPr>
        <w:ind w:firstLine="560" w:firstLineChars="200"/>
        <w:rPr>
          <w:rFonts w:ascii="Times New Roman" w:hAnsi="Times New Roman"/>
        </w:rPr>
      </w:pPr>
      <w:r>
        <w:rPr>
          <w:rFonts w:ascii="Times New Roman" w:hAnsi="Times New Roman"/>
        </w:rPr>
        <w:t>（i）对项目沿线的群众实施保护路产、维护路权的宣传教育；</w:t>
      </w:r>
    </w:p>
    <w:p>
      <w:pPr>
        <w:pStyle w:val="4"/>
        <w:keepNext w:val="0"/>
        <w:numPr>
          <w:ilvl w:val="0"/>
          <w:numId w:val="0"/>
        </w:numPr>
        <w:ind w:firstLine="560" w:firstLineChars="200"/>
        <w:rPr>
          <w:rFonts w:ascii="Times New Roman" w:hAnsi="Times New Roman"/>
        </w:rPr>
      </w:pPr>
      <w:r>
        <w:rPr>
          <w:rFonts w:ascii="Times New Roman" w:hAnsi="Times New Roman"/>
        </w:rPr>
        <w:t>（j）在紧急情况下执行公安交通主管部门临时交予的关闭交通的义务；</w:t>
      </w:r>
    </w:p>
    <w:p>
      <w:pPr>
        <w:pStyle w:val="4"/>
        <w:keepNext w:val="0"/>
        <w:numPr>
          <w:ilvl w:val="0"/>
          <w:numId w:val="0"/>
        </w:numPr>
        <w:ind w:firstLine="560" w:firstLineChars="200"/>
        <w:rPr>
          <w:rFonts w:ascii="Times New Roman" w:hAnsi="Times New Roman"/>
        </w:rPr>
      </w:pPr>
      <w:r>
        <w:rPr>
          <w:rFonts w:ascii="Times New Roman" w:hAnsi="Times New Roman"/>
        </w:rPr>
        <w:t>（k）法律及法规所规定的其他职责。</w:t>
      </w:r>
    </w:p>
    <w:p>
      <w:pPr>
        <w:pStyle w:val="4"/>
        <w:keepNext w:val="0"/>
        <w:numPr>
          <w:ilvl w:val="0"/>
          <w:numId w:val="0"/>
        </w:numPr>
        <w:ind w:firstLine="560" w:firstLineChars="200"/>
        <w:rPr>
          <w:rFonts w:ascii="Times New Roman" w:hAnsi="Times New Roman"/>
        </w:rPr>
      </w:pPr>
      <w:r>
        <w:rPr>
          <w:rFonts w:ascii="Times New Roman" w:hAnsi="Times New Roman"/>
        </w:rPr>
        <w:t>8.4.2路政管理的一般要求</w:t>
      </w:r>
    </w:p>
    <w:p>
      <w:pPr>
        <w:pStyle w:val="4"/>
        <w:keepNext w:val="0"/>
        <w:numPr>
          <w:ilvl w:val="0"/>
          <w:numId w:val="0"/>
        </w:numPr>
        <w:ind w:firstLine="560" w:firstLineChars="200"/>
        <w:rPr>
          <w:rFonts w:ascii="Times New Roman" w:hAnsi="Times New Roman"/>
        </w:rPr>
      </w:pPr>
      <w:r>
        <w:rPr>
          <w:rFonts w:ascii="Times New Roman" w:hAnsi="Times New Roman"/>
        </w:rPr>
        <w:t>（a）乙方1无权受理任何有关路政管理的批准事项，未经政府有关部门批准，乙方1不得在项目公路用地范围内设置除交通标志以外的其他标志（为实现项目正常经营的情况除外）；</w:t>
      </w:r>
      <w:bookmarkStart w:id="148" w:name="page55"/>
      <w:bookmarkEnd w:id="148"/>
    </w:p>
    <w:p>
      <w:pPr>
        <w:pStyle w:val="4"/>
        <w:keepNext w:val="0"/>
        <w:numPr>
          <w:ilvl w:val="0"/>
          <w:numId w:val="0"/>
        </w:numPr>
        <w:ind w:firstLine="560" w:firstLineChars="200"/>
        <w:rPr>
          <w:rFonts w:ascii="Times New Roman" w:hAnsi="Times New Roman"/>
        </w:rPr>
      </w:pPr>
      <w:r>
        <w:rPr>
          <w:rFonts w:ascii="Times New Roman" w:hAnsi="Times New Roman"/>
        </w:rPr>
        <w:t>（b）乙方1在项目上进行养护维修施工作业时，应事先经过相关部门批准并按规定实施施工现场布控，维护好施工现场秩序，作业完工后应及时清理现场，确保公路完好畅通；</w:t>
      </w:r>
    </w:p>
    <w:p>
      <w:pPr>
        <w:pStyle w:val="4"/>
        <w:keepNext w:val="0"/>
        <w:numPr>
          <w:ilvl w:val="0"/>
          <w:numId w:val="0"/>
        </w:numPr>
        <w:ind w:firstLine="560" w:firstLineChars="200"/>
        <w:rPr>
          <w:rFonts w:ascii="Times New Roman" w:hAnsi="Times New Roman"/>
        </w:rPr>
      </w:pPr>
      <w:r>
        <w:rPr>
          <w:rFonts w:ascii="Times New Roman" w:hAnsi="Times New Roman"/>
        </w:rPr>
        <w:t>（c）乙方1发现破坏、损坏或者非法占用路产和影响公路安全的行为应当予以制止，在紧急情况下，应当立即采取应急措施，做好安全防护工作，并及时向路政管理机构报告，协助路政管理人员实施日常路政管理；</w:t>
      </w:r>
    </w:p>
    <w:p>
      <w:pPr>
        <w:pStyle w:val="4"/>
        <w:keepNext w:val="0"/>
        <w:numPr>
          <w:ilvl w:val="0"/>
          <w:numId w:val="0"/>
        </w:numPr>
        <w:ind w:firstLine="560" w:firstLineChars="200"/>
        <w:rPr>
          <w:rFonts w:ascii="Times New Roman" w:hAnsi="Times New Roman"/>
        </w:rPr>
      </w:pPr>
      <w:r>
        <w:rPr>
          <w:rFonts w:ascii="Times New Roman" w:hAnsi="Times New Roman"/>
        </w:rPr>
        <w:t>（d）乙方1应当接受路政管理人员依法实施的监督检查，并为其提供便利；</w:t>
      </w:r>
    </w:p>
    <w:p>
      <w:pPr>
        <w:pStyle w:val="4"/>
        <w:keepNext w:val="0"/>
        <w:numPr>
          <w:ilvl w:val="0"/>
          <w:numId w:val="0"/>
        </w:numPr>
        <w:ind w:firstLine="560" w:firstLineChars="200"/>
        <w:rPr>
          <w:rFonts w:ascii="Times New Roman" w:hAnsi="Times New Roman"/>
        </w:rPr>
      </w:pPr>
      <w:r>
        <w:rPr>
          <w:rFonts w:ascii="Times New Roman" w:hAnsi="Times New Roman"/>
        </w:rPr>
        <w:t>（e）项目公路上清理故障、事故拖车业务由乙方1负责，乙方1应按有关行业规定标准配置清障车辆和清障人员，所需的清障车辆购置费、使用费和清障人员经费等由乙方1承担，清障收入归乙方1，收费标准由陕西省物价部门审定；</w:t>
      </w:r>
    </w:p>
    <w:p>
      <w:pPr>
        <w:pStyle w:val="4"/>
        <w:keepNext w:val="0"/>
        <w:numPr>
          <w:ilvl w:val="0"/>
          <w:numId w:val="0"/>
        </w:numPr>
        <w:ind w:firstLine="560" w:firstLineChars="200"/>
        <w:rPr>
          <w:rFonts w:ascii="Times New Roman" w:hAnsi="Times New Roman"/>
        </w:rPr>
      </w:pPr>
      <w:r>
        <w:rPr>
          <w:rFonts w:ascii="Times New Roman" w:hAnsi="Times New Roman"/>
        </w:rPr>
        <w:t>（f）除政府相关部门因路网完善的需要在项目上增设永久性的工程设施之外，乙方1不得擅自在项目公路建筑红线内建设永久性的工程设施。</w:t>
      </w:r>
    </w:p>
    <w:p>
      <w:pPr>
        <w:pStyle w:val="3"/>
        <w:keepNext w:val="0"/>
        <w:keepLines w:val="0"/>
        <w:widowControl w:val="0"/>
        <w:numPr>
          <w:ilvl w:val="0"/>
          <w:numId w:val="0"/>
        </w:numPr>
        <w:rPr>
          <w:rFonts w:ascii="Times New Roman" w:hAnsi="Times New Roman"/>
        </w:rPr>
      </w:pPr>
      <w:bookmarkStart w:id="149" w:name="_Toc482120714"/>
      <w:bookmarkStart w:id="150" w:name="_Toc68593551"/>
      <w:r>
        <w:rPr>
          <w:rFonts w:ascii="Times New Roman" w:hAnsi="Times New Roman"/>
        </w:rPr>
        <w:t>8.5  交通管理</w:t>
      </w:r>
      <w:bookmarkEnd w:id="149"/>
      <w:bookmarkEnd w:id="150"/>
    </w:p>
    <w:p>
      <w:pPr>
        <w:pStyle w:val="4"/>
        <w:keepNext w:val="0"/>
        <w:numPr>
          <w:ilvl w:val="0"/>
          <w:numId w:val="0"/>
        </w:numPr>
        <w:ind w:firstLine="560" w:firstLineChars="200"/>
        <w:rPr>
          <w:rFonts w:ascii="Times New Roman" w:hAnsi="Times New Roman"/>
        </w:rPr>
      </w:pPr>
      <w:r>
        <w:rPr>
          <w:rFonts w:ascii="Times New Roman" w:hAnsi="Times New Roman"/>
        </w:rPr>
        <w:t>8.5.1交通管理的工作内容</w:t>
      </w:r>
    </w:p>
    <w:p>
      <w:pPr>
        <w:pStyle w:val="4"/>
        <w:keepNext w:val="0"/>
        <w:numPr>
          <w:ilvl w:val="0"/>
          <w:numId w:val="0"/>
        </w:numPr>
        <w:ind w:firstLine="560" w:firstLineChars="200"/>
        <w:rPr>
          <w:rFonts w:ascii="Times New Roman" w:hAnsi="Times New Roman"/>
        </w:rPr>
      </w:pPr>
      <w:r>
        <w:rPr>
          <w:rFonts w:ascii="Times New Roman" w:hAnsi="Times New Roman"/>
        </w:rPr>
        <w:t>公安交通管理部门依法负责项目交通管理工作，乙方1应无偿提供必要的交警营房等设施，并在甲方授权的范围内协助公安交通管理部门的派驻机构完成下列任务：</w:t>
      </w:r>
    </w:p>
    <w:p>
      <w:pPr>
        <w:pStyle w:val="4"/>
        <w:keepNext w:val="0"/>
        <w:numPr>
          <w:ilvl w:val="0"/>
          <w:numId w:val="0"/>
        </w:numPr>
        <w:ind w:firstLine="560" w:firstLineChars="200"/>
        <w:rPr>
          <w:rFonts w:ascii="Times New Roman" w:hAnsi="Times New Roman"/>
        </w:rPr>
      </w:pPr>
      <w:r>
        <w:rPr>
          <w:rFonts w:ascii="Times New Roman" w:hAnsi="Times New Roman"/>
        </w:rPr>
        <w:t>（a）经常进行交通巡逻、检查，一经发现问题及时向中心控制室</w:t>
      </w:r>
      <w:bookmarkStart w:id="151" w:name="page56"/>
      <w:bookmarkEnd w:id="151"/>
      <w:r>
        <w:rPr>
          <w:rFonts w:ascii="Times New Roman" w:hAnsi="Times New Roman"/>
        </w:rPr>
        <w:t>报告信息；</w:t>
      </w:r>
    </w:p>
    <w:p>
      <w:pPr>
        <w:pStyle w:val="4"/>
        <w:keepNext w:val="0"/>
        <w:numPr>
          <w:ilvl w:val="0"/>
          <w:numId w:val="0"/>
        </w:numPr>
        <w:ind w:firstLine="560" w:firstLineChars="200"/>
        <w:rPr>
          <w:rFonts w:ascii="Times New Roman" w:hAnsi="Times New Roman"/>
        </w:rPr>
      </w:pPr>
      <w:r>
        <w:rPr>
          <w:rFonts w:ascii="Times New Roman" w:hAnsi="Times New Roman"/>
        </w:rPr>
        <w:t>（b）当发生交通事故时，按中心控制室排除事故指令，及时赶赴现场疏导交通；协助救援、救护、消防部门进行救援、救护、救灾；配合路政部门清障保通；</w:t>
      </w:r>
    </w:p>
    <w:p>
      <w:pPr>
        <w:pStyle w:val="4"/>
        <w:keepNext w:val="0"/>
        <w:numPr>
          <w:ilvl w:val="0"/>
          <w:numId w:val="0"/>
        </w:numPr>
        <w:ind w:firstLine="560" w:firstLineChars="200"/>
        <w:rPr>
          <w:rFonts w:ascii="Times New Roman" w:hAnsi="Times New Roman"/>
        </w:rPr>
      </w:pPr>
      <w:r>
        <w:rPr>
          <w:rFonts w:ascii="Times New Roman" w:hAnsi="Times New Roman"/>
        </w:rPr>
        <w:t>（c）对交通拥挤问题，采取必要疏导措施；</w:t>
      </w:r>
    </w:p>
    <w:p>
      <w:pPr>
        <w:pStyle w:val="4"/>
        <w:keepNext w:val="0"/>
        <w:numPr>
          <w:ilvl w:val="0"/>
          <w:numId w:val="0"/>
        </w:numPr>
        <w:ind w:firstLine="560" w:firstLineChars="200"/>
        <w:rPr>
          <w:rFonts w:ascii="Times New Roman" w:hAnsi="Times New Roman"/>
        </w:rPr>
      </w:pPr>
      <w:r>
        <w:rPr>
          <w:rFonts w:ascii="Times New Roman" w:hAnsi="Times New Roman"/>
        </w:rPr>
        <w:t>（d）在紧急情况下依法实施交通管制；</w:t>
      </w:r>
    </w:p>
    <w:p>
      <w:pPr>
        <w:pStyle w:val="4"/>
        <w:keepNext w:val="0"/>
        <w:numPr>
          <w:ilvl w:val="0"/>
          <w:numId w:val="0"/>
        </w:numPr>
        <w:ind w:firstLine="560" w:firstLineChars="200"/>
        <w:rPr>
          <w:rFonts w:ascii="Times New Roman" w:hAnsi="Times New Roman"/>
        </w:rPr>
      </w:pPr>
      <w:r>
        <w:rPr>
          <w:rFonts w:ascii="Times New Roman" w:hAnsi="Times New Roman"/>
        </w:rPr>
        <w:t>（e）对公路行车安全进行宣传、教育；</w:t>
      </w:r>
    </w:p>
    <w:p>
      <w:pPr>
        <w:pStyle w:val="4"/>
        <w:keepNext w:val="0"/>
        <w:numPr>
          <w:ilvl w:val="0"/>
          <w:numId w:val="0"/>
        </w:numPr>
        <w:ind w:firstLine="560" w:firstLineChars="200"/>
        <w:rPr>
          <w:rFonts w:ascii="Times New Roman" w:hAnsi="Times New Roman"/>
        </w:rPr>
      </w:pPr>
      <w:r>
        <w:rPr>
          <w:rFonts w:ascii="Times New Roman" w:hAnsi="Times New Roman"/>
        </w:rPr>
        <w:t>（f）法律、法规及规章所规定的其他职责。</w:t>
      </w:r>
    </w:p>
    <w:p>
      <w:pPr>
        <w:pStyle w:val="4"/>
        <w:keepNext w:val="0"/>
        <w:numPr>
          <w:ilvl w:val="0"/>
          <w:numId w:val="0"/>
        </w:numPr>
        <w:ind w:firstLine="560" w:firstLineChars="200"/>
        <w:rPr>
          <w:rFonts w:ascii="Times New Roman" w:hAnsi="Times New Roman"/>
        </w:rPr>
      </w:pPr>
      <w:r>
        <w:rPr>
          <w:rFonts w:ascii="Times New Roman" w:hAnsi="Times New Roman"/>
        </w:rPr>
        <w:t>8.5.2交通管理的一般要求</w:t>
      </w:r>
    </w:p>
    <w:p>
      <w:pPr>
        <w:pStyle w:val="4"/>
        <w:keepNext w:val="0"/>
        <w:numPr>
          <w:ilvl w:val="0"/>
          <w:numId w:val="0"/>
        </w:numPr>
        <w:ind w:firstLine="560" w:firstLineChars="200"/>
        <w:rPr>
          <w:rFonts w:ascii="Times New Roman" w:hAnsi="Times New Roman"/>
        </w:rPr>
      </w:pPr>
      <w:r>
        <w:rPr>
          <w:rFonts w:ascii="Times New Roman" w:hAnsi="Times New Roman"/>
        </w:rPr>
        <w:t>（a）遇有公路损坏、施工或者发生交通事故等影响车辆正常安全行驶的情形时，乙方1应当在现场设置安全防护设施，并在项目出入口进行限速、警示提示，或者利用项目沿线可变信息板等设施予以公告；造成交通堵塞时，应当及时报告公安交通管理部门并协助疏导交通；</w:t>
      </w:r>
    </w:p>
    <w:p>
      <w:pPr>
        <w:pStyle w:val="4"/>
        <w:keepNext w:val="0"/>
        <w:numPr>
          <w:ilvl w:val="0"/>
          <w:numId w:val="0"/>
        </w:numPr>
        <w:ind w:firstLine="560" w:firstLineChars="200"/>
        <w:rPr>
          <w:rFonts w:ascii="Times New Roman" w:hAnsi="Times New Roman"/>
        </w:rPr>
      </w:pPr>
      <w:r>
        <w:rPr>
          <w:rFonts w:ascii="Times New Roman" w:hAnsi="Times New Roman"/>
        </w:rPr>
        <w:t>（b）遇有公路严重损毁、恶劣气象条件或者重大交通事故等严重影响车辆安全通行的情形时，公安交通管理部门应当根据情况，依法采取限速通行、关闭公路等交通管制措施。乙方1应当积极配合公安交通管理部门，及时将有关交通管制的信息向通行车辆进行提示；</w:t>
      </w:r>
    </w:p>
    <w:p>
      <w:pPr>
        <w:pStyle w:val="4"/>
        <w:keepNext w:val="0"/>
        <w:numPr>
          <w:ilvl w:val="0"/>
          <w:numId w:val="0"/>
        </w:numPr>
        <w:ind w:firstLine="560" w:firstLineChars="200"/>
        <w:rPr>
          <w:rFonts w:ascii="Times New Roman" w:hAnsi="Times New Roman"/>
        </w:rPr>
      </w:pPr>
      <w:r>
        <w:rPr>
          <w:rFonts w:ascii="Times New Roman" w:hAnsi="Times New Roman"/>
        </w:rPr>
        <w:t>（c）发现车辆超载时，乙方1应当及时报告公安交通管理部门，由其会同交通主管部门予以处理；</w:t>
      </w:r>
    </w:p>
    <w:p>
      <w:pPr>
        <w:pStyle w:val="4"/>
        <w:keepNext w:val="0"/>
        <w:numPr>
          <w:ilvl w:val="0"/>
          <w:numId w:val="0"/>
        </w:numPr>
        <w:ind w:firstLine="560" w:firstLineChars="200"/>
        <w:rPr>
          <w:rFonts w:ascii="Times New Roman" w:hAnsi="Times New Roman"/>
        </w:rPr>
      </w:pPr>
      <w:bookmarkStart w:id="152" w:name="page57"/>
      <w:bookmarkEnd w:id="152"/>
      <w:r>
        <w:rPr>
          <w:rFonts w:ascii="Times New Roman" w:hAnsi="Times New Roman"/>
        </w:rPr>
        <w:t>（d）公安交通管理部门有权要求乙方1将道路监控图像传输至公安交通管理部门，乙方1监控图像在公安交通管理部门之间的图像传输建设及其费用由公安交通管理部门负责。</w:t>
      </w:r>
    </w:p>
    <w:p>
      <w:pPr>
        <w:pStyle w:val="3"/>
        <w:keepNext w:val="0"/>
        <w:keepLines w:val="0"/>
        <w:widowControl w:val="0"/>
        <w:numPr>
          <w:ilvl w:val="0"/>
          <w:numId w:val="0"/>
        </w:numPr>
        <w:rPr>
          <w:rFonts w:ascii="Times New Roman" w:hAnsi="Times New Roman"/>
        </w:rPr>
      </w:pPr>
      <w:bookmarkStart w:id="153" w:name="_Toc68593552"/>
      <w:bookmarkStart w:id="154" w:name="_Toc482120715"/>
      <w:r>
        <w:rPr>
          <w:rFonts w:ascii="Times New Roman" w:hAnsi="Times New Roman"/>
        </w:rPr>
        <w:t>8.6  应急抢修抢险</w:t>
      </w:r>
      <w:bookmarkEnd w:id="153"/>
      <w:bookmarkEnd w:id="154"/>
    </w:p>
    <w:p>
      <w:pPr>
        <w:pStyle w:val="4"/>
        <w:keepNext w:val="0"/>
        <w:numPr>
          <w:ilvl w:val="0"/>
          <w:numId w:val="0"/>
        </w:numPr>
        <w:ind w:firstLine="560" w:firstLineChars="200"/>
        <w:rPr>
          <w:rFonts w:ascii="Times New Roman" w:hAnsi="Times New Roman"/>
        </w:rPr>
      </w:pPr>
      <w:r>
        <w:rPr>
          <w:rFonts w:ascii="Times New Roman" w:hAnsi="Times New Roman"/>
        </w:rPr>
        <w:t>乙方1应制定完善的应急抢修抢险预案、完善项目道路交通设施及其附属设施资料图档和设施信息化管理系统，遵守应急抢修抢险预案，设立道路交通设施应急抢修队伍和用户维修服务网点，提供24小时紧急服务热线和紧急抢修抢险。当发生紧急事件时，乙方1应能够立即组织抢修抢险，尽快恢复通行与收费服务：</w:t>
      </w:r>
    </w:p>
    <w:p>
      <w:pPr>
        <w:pStyle w:val="4"/>
        <w:keepNext w:val="0"/>
        <w:numPr>
          <w:ilvl w:val="0"/>
          <w:numId w:val="0"/>
        </w:numPr>
        <w:ind w:firstLine="560" w:firstLineChars="200"/>
        <w:rPr>
          <w:rFonts w:ascii="Times New Roman" w:hAnsi="Times New Roman"/>
        </w:rPr>
      </w:pPr>
      <w:r>
        <w:rPr>
          <w:rFonts w:ascii="Times New Roman" w:hAnsi="Times New Roman"/>
        </w:rPr>
        <w:t>（a）在事故期间，乙方1应采取各种应急措施进行补救，尽量减轻事故对用户的影响；</w:t>
      </w:r>
    </w:p>
    <w:p>
      <w:pPr>
        <w:pStyle w:val="4"/>
        <w:keepNext w:val="0"/>
        <w:numPr>
          <w:ilvl w:val="0"/>
          <w:numId w:val="0"/>
        </w:numPr>
        <w:ind w:firstLine="560" w:firstLineChars="200"/>
        <w:rPr>
          <w:rFonts w:ascii="Times New Roman" w:hAnsi="Times New Roman"/>
        </w:rPr>
      </w:pPr>
      <w:r>
        <w:rPr>
          <w:rFonts w:ascii="Times New Roman" w:hAnsi="Times New Roman"/>
        </w:rPr>
        <w:t>（b）出现重大事故时，乙方1必须及时、如实地向甲方和有关政府部门报告，并严肃查处和整改。</w:t>
      </w:r>
    </w:p>
    <w:p>
      <w:pPr>
        <w:pStyle w:val="3"/>
        <w:keepNext w:val="0"/>
        <w:keepLines w:val="0"/>
        <w:widowControl w:val="0"/>
        <w:numPr>
          <w:ilvl w:val="0"/>
          <w:numId w:val="0"/>
        </w:numPr>
        <w:rPr>
          <w:rFonts w:ascii="Times New Roman" w:hAnsi="Times New Roman"/>
        </w:rPr>
      </w:pPr>
      <w:bookmarkStart w:id="155" w:name="_Toc482120716"/>
      <w:bookmarkStart w:id="156" w:name="_Toc68593553"/>
      <w:r>
        <w:rPr>
          <w:rFonts w:ascii="Times New Roman" w:hAnsi="Times New Roman"/>
        </w:rPr>
        <w:t>8.7  临时接管</w:t>
      </w:r>
      <w:bookmarkEnd w:id="155"/>
      <w:bookmarkEnd w:id="156"/>
    </w:p>
    <w:p>
      <w:pPr>
        <w:pStyle w:val="4"/>
        <w:keepNext w:val="0"/>
        <w:numPr>
          <w:ilvl w:val="0"/>
          <w:numId w:val="0"/>
        </w:numPr>
        <w:ind w:firstLine="560" w:firstLineChars="200"/>
        <w:rPr>
          <w:rFonts w:ascii="Times New Roman" w:hAnsi="Times New Roman"/>
        </w:rPr>
      </w:pPr>
      <w:r>
        <w:rPr>
          <w:rFonts w:ascii="Times New Roman" w:hAnsi="Times New Roman"/>
        </w:rPr>
        <w:t>8.7.1特许经营期内，如乙方1出现以下违约行为，甲方有权实施临时接管：</w:t>
      </w:r>
    </w:p>
    <w:p>
      <w:pPr>
        <w:pStyle w:val="4"/>
        <w:keepNext w:val="0"/>
        <w:numPr>
          <w:ilvl w:val="0"/>
          <w:numId w:val="0"/>
        </w:numPr>
        <w:ind w:firstLine="560" w:firstLineChars="200"/>
        <w:rPr>
          <w:rFonts w:ascii="Times New Roman" w:hAnsi="Times New Roman"/>
        </w:rPr>
      </w:pPr>
      <w:r>
        <w:rPr>
          <w:rFonts w:ascii="Times New Roman" w:hAnsi="Times New Roman"/>
        </w:rPr>
        <w:t>（a）未经甲方事先书面同意，乙方1转让、出租特许经营权的；</w:t>
      </w:r>
    </w:p>
    <w:p>
      <w:pPr>
        <w:pStyle w:val="4"/>
        <w:keepNext w:val="0"/>
        <w:numPr>
          <w:ilvl w:val="0"/>
          <w:numId w:val="0"/>
        </w:numPr>
        <w:ind w:firstLine="560" w:firstLineChars="200"/>
        <w:rPr>
          <w:rFonts w:ascii="Times New Roman" w:hAnsi="Times New Roman"/>
        </w:rPr>
      </w:pPr>
      <w:r>
        <w:rPr>
          <w:rFonts w:ascii="Times New Roman" w:hAnsi="Times New Roman"/>
        </w:rPr>
        <w:t>（b）未经甲方事先书面同意，擅自转让、质押项目的特许经营权</w:t>
      </w:r>
      <w:r>
        <w:rPr>
          <w:rFonts w:hint="eastAsia" w:ascii="Times New Roman" w:hAnsi="Times New Roman"/>
        </w:rPr>
        <w:t>的收益权</w:t>
      </w:r>
      <w:r>
        <w:rPr>
          <w:rFonts w:ascii="Times New Roman" w:hAnsi="Times New Roman"/>
        </w:rPr>
        <w:t>（按照本合同乙方1用于融资的特许经营权</w:t>
      </w:r>
      <w:r>
        <w:rPr>
          <w:rFonts w:hint="eastAsia" w:ascii="Times New Roman" w:hAnsi="Times New Roman"/>
        </w:rPr>
        <w:t>的收益权</w:t>
      </w:r>
      <w:r>
        <w:rPr>
          <w:rFonts w:ascii="Times New Roman" w:hAnsi="Times New Roman"/>
        </w:rPr>
        <w:t>质押除外）；擅自出让、转让或抵押项目的土地使用权、项目设施或任何其他重要资产；</w:t>
      </w:r>
    </w:p>
    <w:p>
      <w:pPr>
        <w:pStyle w:val="4"/>
        <w:keepNext w:val="0"/>
        <w:numPr>
          <w:ilvl w:val="0"/>
          <w:numId w:val="0"/>
        </w:numPr>
        <w:ind w:firstLine="560" w:firstLineChars="200"/>
        <w:rPr>
          <w:rFonts w:ascii="Times New Roman" w:hAnsi="Times New Roman"/>
        </w:rPr>
      </w:pPr>
      <w:r>
        <w:rPr>
          <w:rFonts w:ascii="Times New Roman" w:hAnsi="Times New Roman"/>
        </w:rPr>
        <w:t>（c）乙方1擅自关闭全部或部分道路、服务设施，严重影响到社会公共利益和安全的；</w:t>
      </w:r>
    </w:p>
    <w:p>
      <w:pPr>
        <w:pStyle w:val="4"/>
        <w:keepNext w:val="0"/>
        <w:numPr>
          <w:ilvl w:val="0"/>
          <w:numId w:val="0"/>
        </w:numPr>
        <w:ind w:firstLine="560" w:firstLineChars="200"/>
        <w:rPr>
          <w:rFonts w:ascii="Times New Roman" w:hAnsi="Times New Roman"/>
        </w:rPr>
      </w:pPr>
      <w:r>
        <w:rPr>
          <w:rFonts w:ascii="Times New Roman" w:hAnsi="Times New Roman"/>
        </w:rPr>
        <w:t>（d）法律、法规、规章禁止的其他行为。</w:t>
      </w:r>
      <w:bookmarkStart w:id="157" w:name="page58"/>
      <w:bookmarkEnd w:id="157"/>
    </w:p>
    <w:p>
      <w:pPr>
        <w:pStyle w:val="4"/>
        <w:keepNext w:val="0"/>
        <w:numPr>
          <w:ilvl w:val="0"/>
          <w:numId w:val="0"/>
        </w:numPr>
        <w:ind w:firstLine="560" w:firstLineChars="200"/>
        <w:rPr>
          <w:rFonts w:ascii="Times New Roman" w:hAnsi="Times New Roman"/>
        </w:rPr>
      </w:pPr>
      <w:r>
        <w:rPr>
          <w:rFonts w:ascii="Times New Roman" w:hAnsi="Times New Roman"/>
        </w:rPr>
        <w:t>8.7.2甲方在临时接管前，应就临时接管的原因、临时接管的范围和程度、临时接管代表、临时接管时间事先书面通知乙方1。甲方根据本条进行临时接管无须获得乙方1的同意，但需要充分考虑乙方1的反馈意见和建议。临时接管范围不应超过足以使乙方1具备应对能力解除紧急事件所必须的范围和程度。</w:t>
      </w:r>
    </w:p>
    <w:p>
      <w:pPr>
        <w:pStyle w:val="4"/>
        <w:keepNext w:val="0"/>
        <w:numPr>
          <w:ilvl w:val="0"/>
          <w:numId w:val="0"/>
        </w:numPr>
        <w:ind w:firstLine="560" w:firstLineChars="200"/>
        <w:rPr>
          <w:rFonts w:ascii="Times New Roman" w:hAnsi="Times New Roman"/>
        </w:rPr>
      </w:pPr>
      <w:r>
        <w:rPr>
          <w:rFonts w:ascii="Times New Roman" w:hAnsi="Times New Roman"/>
        </w:rPr>
        <w:t>8.7.3甲方的临时接管将一直并仅应持续到：</w:t>
      </w:r>
    </w:p>
    <w:p>
      <w:pPr>
        <w:pStyle w:val="4"/>
        <w:keepNext w:val="0"/>
        <w:numPr>
          <w:ilvl w:val="0"/>
          <w:numId w:val="0"/>
        </w:numPr>
        <w:ind w:firstLine="560" w:firstLineChars="200"/>
        <w:rPr>
          <w:rFonts w:ascii="Times New Roman" w:hAnsi="Times New Roman"/>
        </w:rPr>
      </w:pPr>
      <w:r>
        <w:rPr>
          <w:rFonts w:ascii="Times New Roman" w:hAnsi="Times New Roman"/>
        </w:rPr>
        <w:t>乙方1改正了导致临时接管的违约事件的时间；或</w:t>
      </w:r>
    </w:p>
    <w:p>
      <w:pPr>
        <w:pStyle w:val="4"/>
        <w:keepNext w:val="0"/>
        <w:numPr>
          <w:ilvl w:val="0"/>
          <w:numId w:val="0"/>
        </w:numPr>
        <w:ind w:firstLine="560" w:firstLineChars="200"/>
        <w:rPr>
          <w:rFonts w:ascii="Times New Roman" w:hAnsi="Times New Roman"/>
        </w:rPr>
      </w:pPr>
      <w:r>
        <w:rPr>
          <w:rFonts w:ascii="Times New Roman" w:hAnsi="Times New Roman"/>
        </w:rPr>
        <w:t>乙方1可以合理地被期望有能力改正导致临时接管的违约事件的时间。</w:t>
      </w:r>
    </w:p>
    <w:p>
      <w:pPr>
        <w:pStyle w:val="4"/>
        <w:keepNext w:val="0"/>
        <w:numPr>
          <w:ilvl w:val="0"/>
          <w:numId w:val="0"/>
        </w:numPr>
        <w:ind w:firstLine="560" w:firstLineChars="200"/>
        <w:rPr>
          <w:rFonts w:ascii="Times New Roman" w:hAnsi="Times New Roman"/>
        </w:rPr>
      </w:pPr>
      <w:r>
        <w:rPr>
          <w:rFonts w:ascii="Times New Roman" w:hAnsi="Times New Roman"/>
        </w:rPr>
        <w:t>8.7.4临时接管所产生的一切费用，将根据本合同约定，由乙方1单独承担。甲方有权在决定临时接管之日起临时接管道路工程项目设施，并指定第三方临时提供相应的服务，乙方1无权获得项目设施经营收入。临时接管期间发生的成本、费用等均由乙方1承担，甲方有权兑取全部履约保证金。</w:t>
      </w:r>
    </w:p>
    <w:p>
      <w:pPr>
        <w:pStyle w:val="3"/>
        <w:keepNext w:val="0"/>
        <w:keepLines w:val="0"/>
        <w:widowControl w:val="0"/>
        <w:numPr>
          <w:ilvl w:val="0"/>
          <w:numId w:val="0"/>
        </w:numPr>
        <w:rPr>
          <w:rFonts w:ascii="Times New Roman" w:hAnsi="Times New Roman"/>
        </w:rPr>
      </w:pPr>
      <w:bookmarkStart w:id="158" w:name="_Toc482120717"/>
      <w:bookmarkStart w:id="159" w:name="_Toc68593554"/>
      <w:r>
        <w:rPr>
          <w:rFonts w:ascii="Times New Roman" w:hAnsi="Times New Roman"/>
        </w:rPr>
        <w:t>8.8  运营期考核</w:t>
      </w:r>
      <w:bookmarkEnd w:id="158"/>
      <w:bookmarkEnd w:id="159"/>
    </w:p>
    <w:p>
      <w:pPr>
        <w:pStyle w:val="4"/>
        <w:keepNext w:val="0"/>
        <w:numPr>
          <w:ilvl w:val="0"/>
          <w:numId w:val="0"/>
        </w:numPr>
        <w:ind w:firstLine="560" w:firstLineChars="200"/>
        <w:rPr>
          <w:rFonts w:ascii="Times New Roman" w:hAnsi="Times New Roman"/>
        </w:rPr>
      </w:pPr>
      <w:r>
        <w:rPr>
          <w:rFonts w:ascii="Times New Roman" w:hAnsi="Times New Roman"/>
        </w:rPr>
        <w:t>甲方可依照</w:t>
      </w:r>
      <w:r>
        <w:rPr>
          <w:rFonts w:hint="eastAsia" w:ascii="Times New Roman" w:hAnsi="Times New Roman"/>
        </w:rPr>
        <w:t>《关于印发&lt;政府和社会资本合作（PPP）项目绩效管理操作指引&gt;的通知》（财金〔2020〕13号）、</w:t>
      </w:r>
      <w:r>
        <w:rPr>
          <w:rFonts w:ascii="Times New Roman" w:hAnsi="Times New Roman"/>
        </w:rPr>
        <w:t>《陕西省交通运输厅关于印发&lt;陕西省高速公路PPP项目管理办法（试行）&gt;的通知》（陕交发〔2020〕41号）文件与乙方1制定相应的本项目运营维护考核细则，</w:t>
      </w:r>
      <w:r>
        <w:rPr>
          <w:rFonts w:hint="eastAsia" w:ascii="Times New Roman" w:hAnsi="Times New Roman"/>
        </w:rPr>
        <w:t>将乙方1获得的项目收益与当年乙方1或</w:t>
      </w:r>
      <w:r>
        <w:rPr>
          <w:rFonts w:ascii="Times New Roman" w:hAnsi="Times New Roman"/>
        </w:rPr>
        <w:t>乙方</w:t>
      </w:r>
      <w:r>
        <w:rPr>
          <w:rFonts w:hint="eastAsia" w:ascii="Times New Roman" w:hAnsi="Times New Roman"/>
        </w:rPr>
        <w:t>2绩效评价结果挂钩，绩效评价结果未达到相应标准的，甲方将执行运营维护考核细则中约定的违约条款，可通过设置影响项目收益的违约金等方式实现。</w:t>
      </w:r>
      <w:r>
        <w:rPr>
          <w:rFonts w:ascii="Times New Roman" w:hAnsi="Times New Roman"/>
        </w:rPr>
        <w:t>乙方1应配合甲方建立相应的机制并确保接受考核。</w:t>
      </w:r>
      <w:bookmarkStart w:id="160" w:name="page59"/>
      <w:bookmarkEnd w:id="160"/>
      <w:bookmarkStart w:id="161" w:name="_Toc480978645"/>
      <w:bookmarkStart w:id="162" w:name="_Toc482120719"/>
      <w:r>
        <w:rPr>
          <w:rFonts w:hint="eastAsia" w:ascii="Times New Roman" w:hAnsi="Times New Roman"/>
        </w:rPr>
        <w:t>运营期绩效考核框架（参考）如下所示：</w:t>
      </w:r>
    </w:p>
    <w:p>
      <w:pPr>
        <w:spacing w:line="560" w:lineRule="exact"/>
        <w:ind w:firstLine="482" w:firstLineChars="200"/>
        <w:jc w:val="center"/>
        <w:rPr>
          <w:rFonts w:ascii="Times New Roman" w:hAnsi="Times New Roman"/>
          <w:b/>
          <w:sz w:val="24"/>
          <w:szCs w:val="24"/>
        </w:rPr>
      </w:pPr>
      <w:r>
        <w:rPr>
          <w:rFonts w:hint="eastAsia" w:ascii="Times New Roman" w:hAnsi="Times New Roman"/>
          <w:b/>
          <w:color w:val="000000"/>
          <w:sz w:val="24"/>
          <w:szCs w:val="24"/>
        </w:rPr>
        <w:t>运营期绩效考核框架</w:t>
      </w:r>
    </w:p>
    <w:tbl>
      <w:tblPr>
        <w:tblStyle w:val="33"/>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30"/>
        <w:gridCol w:w="1728"/>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序号</w:t>
            </w:r>
          </w:p>
        </w:tc>
        <w:tc>
          <w:tcPr>
            <w:tcW w:w="997"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一级绩效指标</w:t>
            </w: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二级绩效指标</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restar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1</w:t>
            </w:r>
          </w:p>
        </w:tc>
        <w:tc>
          <w:tcPr>
            <w:tcW w:w="997" w:type="pct"/>
            <w:vMerge w:val="restar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项目管理</w:t>
            </w: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财务管理</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资金使用、财务（资产）管理、债务清偿、财务监控、会计核算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项目实施</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公路运营管理、采购、人力资源管理、工作计划、档案管理、内控制度、信息公开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restar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2</w:t>
            </w:r>
          </w:p>
        </w:tc>
        <w:tc>
          <w:tcPr>
            <w:tcW w:w="997" w:type="pct"/>
            <w:vMerge w:val="restar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项目产出</w:t>
            </w: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数量</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公路养护计划完成率、达标率、维护频次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时效</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公路养护、紧急状况处理及时性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运营成本</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养护成本控制有效、成本构成合理性、成本节约率、投入产出比等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shd w:val="clear" w:color="auto" w:fill="auto"/>
            <w:vAlign w:val="center"/>
          </w:tcPr>
          <w:p>
            <w:pPr>
              <w:spacing w:line="560" w:lineRule="exact"/>
              <w:jc w:val="center"/>
              <w:rPr>
                <w:rFonts w:ascii="Times New Roman" w:hAnsi="Times New Roman"/>
                <w:sz w:val="24"/>
                <w:szCs w:val="24"/>
              </w:rPr>
            </w:pPr>
          </w:p>
        </w:tc>
        <w:tc>
          <w:tcPr>
            <w:tcW w:w="997" w:type="pct"/>
            <w:vMerge w:val="continue"/>
            <w:shd w:val="clear" w:color="auto" w:fill="auto"/>
            <w:vAlign w:val="center"/>
          </w:tcPr>
          <w:p>
            <w:pPr>
              <w:spacing w:line="560" w:lineRule="exact"/>
              <w:jc w:val="center"/>
              <w:rPr>
                <w:rFonts w:ascii="Times New Roman" w:hAnsi="Times New Roman"/>
                <w:sz w:val="24"/>
                <w:szCs w:val="24"/>
              </w:rPr>
            </w:pP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项目质量</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PQI指标、SCI指标、BCI指标、TCI指标、收费服务管理、信息发布管理、服务区管理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3</w:t>
            </w:r>
          </w:p>
        </w:tc>
        <w:tc>
          <w:tcPr>
            <w:tcW w:w="997"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项目效果</w:t>
            </w:r>
          </w:p>
        </w:tc>
        <w:tc>
          <w:tcPr>
            <w:tcW w:w="996"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满意度</w:t>
            </w:r>
          </w:p>
        </w:tc>
        <w:tc>
          <w:tcPr>
            <w:tcW w:w="2499" w:type="pct"/>
            <w:shd w:val="clear" w:color="auto" w:fill="auto"/>
            <w:vAlign w:val="center"/>
          </w:tcPr>
          <w:p>
            <w:pPr>
              <w:spacing w:line="560" w:lineRule="exact"/>
              <w:jc w:val="center"/>
              <w:rPr>
                <w:rFonts w:ascii="Times New Roman" w:hAnsi="Times New Roman"/>
                <w:sz w:val="24"/>
                <w:szCs w:val="24"/>
              </w:rPr>
            </w:pPr>
            <w:r>
              <w:rPr>
                <w:rFonts w:hint="eastAsia" w:ascii="Times New Roman" w:hAnsi="Times New Roman"/>
                <w:sz w:val="24"/>
                <w:szCs w:val="24"/>
              </w:rPr>
              <w:t>项目使用者满意度、工作人员满意度、沿线居民满意度</w:t>
            </w:r>
          </w:p>
        </w:tc>
      </w:tr>
    </w:tbl>
    <w:p>
      <w:pPr>
        <w:jc w:val="left"/>
        <w:rPr>
          <w:rFonts w:ascii="Times New Roman" w:hAnsi="Times New Roman"/>
          <w:b/>
          <w:bCs/>
          <w:kern w:val="44"/>
          <w:sz w:val="32"/>
          <w:szCs w:val="44"/>
        </w:rPr>
      </w:pPr>
      <w:r>
        <w:rPr>
          <w:rFonts w:ascii="Times New Roman" w:hAnsi="Times New Roman"/>
        </w:rPr>
        <w:br w:type="page"/>
      </w:r>
    </w:p>
    <w:p>
      <w:pPr>
        <w:pStyle w:val="2"/>
        <w:keepNext w:val="0"/>
        <w:ind w:right="0" w:rightChars="0"/>
        <w:rPr>
          <w:rFonts w:ascii="Times New Roman" w:hAnsi="Times New Roman"/>
          <w:lang w:eastAsia="zh-CN"/>
        </w:rPr>
      </w:pPr>
      <w:bookmarkStart w:id="163" w:name="_Toc68593555"/>
      <w:r>
        <w:rPr>
          <w:rFonts w:ascii="Times New Roman" w:hAnsi="Times New Roman"/>
          <w:lang w:eastAsia="zh-CN"/>
        </w:rPr>
        <w:t>第9条  报告和中期评估</w:t>
      </w:r>
      <w:bookmarkEnd w:id="161"/>
      <w:bookmarkEnd w:id="162"/>
      <w:bookmarkEnd w:id="163"/>
    </w:p>
    <w:p>
      <w:pPr>
        <w:pStyle w:val="3"/>
        <w:keepNext w:val="0"/>
        <w:keepLines w:val="0"/>
        <w:widowControl w:val="0"/>
        <w:numPr>
          <w:ilvl w:val="0"/>
          <w:numId w:val="0"/>
        </w:numPr>
        <w:rPr>
          <w:rFonts w:ascii="Times New Roman" w:hAnsi="Times New Roman"/>
        </w:rPr>
      </w:pPr>
      <w:bookmarkStart w:id="164" w:name="_Toc68593556"/>
      <w:bookmarkStart w:id="165" w:name="_Toc482120720"/>
      <w:r>
        <w:rPr>
          <w:rFonts w:ascii="Times New Roman" w:hAnsi="Times New Roman"/>
        </w:rPr>
        <w:t>9.1  定期报告</w:t>
      </w:r>
      <w:bookmarkEnd w:id="164"/>
      <w:bookmarkEnd w:id="165"/>
    </w:p>
    <w:p>
      <w:pPr>
        <w:pStyle w:val="4"/>
        <w:keepNext w:val="0"/>
        <w:numPr>
          <w:ilvl w:val="0"/>
          <w:numId w:val="0"/>
        </w:numPr>
        <w:ind w:firstLine="560" w:firstLineChars="200"/>
        <w:rPr>
          <w:rFonts w:ascii="Times New Roman" w:hAnsi="Times New Roman"/>
        </w:rPr>
      </w:pPr>
      <w:r>
        <w:rPr>
          <w:rFonts w:ascii="Times New Roman" w:hAnsi="Times New Roman"/>
        </w:rPr>
        <w:t>9.1.1在建设期，乙方1应每半年向甲方提交书面报告，内容包含：乙方1经营、融资、工程项目进度、质量、安全、资金使用、设计变更等情况以及项目建设过程中存在的问题、下一步计划和措施等内容。</w:t>
      </w:r>
    </w:p>
    <w:p>
      <w:pPr>
        <w:pStyle w:val="4"/>
        <w:keepNext w:val="0"/>
        <w:numPr>
          <w:ilvl w:val="0"/>
          <w:numId w:val="0"/>
        </w:numPr>
        <w:ind w:firstLine="560" w:firstLineChars="200"/>
        <w:rPr>
          <w:rFonts w:ascii="Times New Roman" w:hAnsi="Times New Roman"/>
        </w:rPr>
      </w:pPr>
      <w:r>
        <w:rPr>
          <w:rFonts w:ascii="Times New Roman" w:hAnsi="Times New Roman"/>
        </w:rPr>
        <w:t>9.1.2在运营期，乙方1应每年向甲方提交书面报告，内容包括：乙方1经营、通行量、收费额、经营性收入等情况，以及上一年度的养护状况、重大事故、安全生产情况、服务质量状况等内容。</w:t>
      </w:r>
    </w:p>
    <w:p>
      <w:pPr>
        <w:pStyle w:val="4"/>
        <w:keepNext w:val="0"/>
        <w:numPr>
          <w:ilvl w:val="0"/>
          <w:numId w:val="0"/>
        </w:numPr>
        <w:ind w:firstLine="560" w:firstLineChars="200"/>
        <w:rPr>
          <w:rFonts w:ascii="Times New Roman" w:hAnsi="Times New Roman"/>
        </w:rPr>
      </w:pPr>
      <w:r>
        <w:rPr>
          <w:rFonts w:ascii="Times New Roman" w:hAnsi="Times New Roman"/>
        </w:rPr>
        <w:t>9.1.3乙方1应提交全面反映其经营情况各个方面的下列财务报表和其他报表：</w:t>
      </w:r>
    </w:p>
    <w:p>
      <w:pPr>
        <w:pStyle w:val="4"/>
        <w:keepNext w:val="0"/>
        <w:numPr>
          <w:ilvl w:val="0"/>
          <w:numId w:val="0"/>
        </w:numPr>
        <w:ind w:firstLine="560" w:firstLineChars="200"/>
        <w:rPr>
          <w:rFonts w:ascii="Times New Roman" w:hAnsi="Times New Roman"/>
        </w:rPr>
      </w:pPr>
      <w:r>
        <w:rPr>
          <w:rFonts w:ascii="Times New Roman" w:hAnsi="Times New Roman"/>
        </w:rPr>
        <w:t>（a）每年5月30日之前，提交上一年度按适用法律和普遍认可的中国会计准则、制度和惯例编制的经审计的年度财务报表，包括资产负债表、利润表、现金流量表、所有者权益变动表以及财务报表附注；</w:t>
      </w:r>
    </w:p>
    <w:p>
      <w:pPr>
        <w:pStyle w:val="4"/>
        <w:keepNext w:val="0"/>
        <w:numPr>
          <w:ilvl w:val="0"/>
          <w:numId w:val="0"/>
        </w:numPr>
        <w:ind w:firstLine="560" w:firstLineChars="200"/>
        <w:rPr>
          <w:rFonts w:ascii="Times New Roman" w:hAnsi="Times New Roman"/>
        </w:rPr>
      </w:pPr>
      <w:r>
        <w:rPr>
          <w:rFonts w:ascii="Times New Roman" w:hAnsi="Times New Roman"/>
        </w:rPr>
        <w:t>（b）每季度第一个月的十（10）日之前，提交上一季度本项目的运营成本表；</w:t>
      </w:r>
    </w:p>
    <w:p>
      <w:pPr>
        <w:pStyle w:val="4"/>
        <w:keepNext w:val="0"/>
        <w:numPr>
          <w:ilvl w:val="0"/>
          <w:numId w:val="0"/>
        </w:numPr>
        <w:ind w:firstLine="560" w:firstLineChars="200"/>
        <w:rPr>
          <w:rFonts w:ascii="Times New Roman" w:hAnsi="Times New Roman"/>
        </w:rPr>
      </w:pPr>
      <w:r>
        <w:rPr>
          <w:rFonts w:ascii="Times New Roman" w:hAnsi="Times New Roman"/>
        </w:rPr>
        <w:t>（c）甲方为监督乙方1遵守适用法律和本合同，合理要求的有关乙方1财务状况及项目运行状况的其它资料。</w:t>
      </w:r>
    </w:p>
    <w:p>
      <w:pPr>
        <w:pStyle w:val="3"/>
        <w:keepNext w:val="0"/>
        <w:keepLines w:val="0"/>
        <w:widowControl w:val="0"/>
        <w:numPr>
          <w:ilvl w:val="0"/>
          <w:numId w:val="0"/>
        </w:numPr>
        <w:rPr>
          <w:rFonts w:ascii="Times New Roman" w:hAnsi="Times New Roman"/>
        </w:rPr>
      </w:pPr>
      <w:bookmarkStart w:id="166" w:name="_Toc68593557"/>
      <w:bookmarkStart w:id="167" w:name="_Toc482120721"/>
      <w:r>
        <w:rPr>
          <w:rFonts w:ascii="Times New Roman" w:hAnsi="Times New Roman"/>
        </w:rPr>
        <w:t>9.2  临时报告</w:t>
      </w:r>
      <w:bookmarkEnd w:id="166"/>
      <w:bookmarkEnd w:id="167"/>
    </w:p>
    <w:p>
      <w:pPr>
        <w:pStyle w:val="4"/>
        <w:keepNext w:val="0"/>
        <w:numPr>
          <w:ilvl w:val="0"/>
          <w:numId w:val="0"/>
        </w:numPr>
        <w:ind w:firstLine="560" w:firstLineChars="200"/>
        <w:rPr>
          <w:rFonts w:ascii="Times New Roman" w:hAnsi="Times New Roman"/>
        </w:rPr>
      </w:pPr>
      <w:r>
        <w:rPr>
          <w:rFonts w:ascii="Times New Roman" w:hAnsi="Times New Roman"/>
        </w:rPr>
        <w:t>乙方1应当在下列事项出现后十（10）个工作日内向甲方提交书面报告及相关材料供甲方备案。甲方在收到乙方1提交的报告</w:t>
      </w:r>
      <w:bookmarkStart w:id="168" w:name="page60"/>
      <w:bookmarkEnd w:id="168"/>
      <w:r>
        <w:rPr>
          <w:rFonts w:ascii="Times New Roman" w:hAnsi="Times New Roman"/>
        </w:rPr>
        <w:t>或材料后提出反馈意见。</w:t>
      </w:r>
    </w:p>
    <w:p>
      <w:pPr>
        <w:pStyle w:val="4"/>
        <w:keepNext w:val="0"/>
        <w:numPr>
          <w:ilvl w:val="0"/>
          <w:numId w:val="0"/>
        </w:numPr>
        <w:ind w:firstLine="560" w:firstLineChars="200"/>
        <w:rPr>
          <w:rFonts w:ascii="Times New Roman" w:hAnsi="Times New Roman"/>
        </w:rPr>
      </w:pPr>
      <w:r>
        <w:rPr>
          <w:rFonts w:ascii="Times New Roman" w:hAnsi="Times New Roman"/>
        </w:rPr>
        <w:t>9.2.1  乙方1的董事、监事、高级管理人员的确定或变更。</w:t>
      </w:r>
    </w:p>
    <w:p>
      <w:pPr>
        <w:pStyle w:val="4"/>
        <w:keepNext w:val="0"/>
        <w:numPr>
          <w:ilvl w:val="0"/>
          <w:numId w:val="0"/>
        </w:numPr>
        <w:ind w:firstLine="560" w:firstLineChars="200"/>
        <w:rPr>
          <w:rFonts w:ascii="Times New Roman" w:hAnsi="Times New Roman"/>
        </w:rPr>
      </w:pPr>
      <w:r>
        <w:rPr>
          <w:rFonts w:ascii="Times New Roman" w:hAnsi="Times New Roman"/>
        </w:rPr>
        <w:t>9.2.2乙方1的董事会作出的有关特许经营业务的决议。</w:t>
      </w:r>
    </w:p>
    <w:p>
      <w:pPr>
        <w:pStyle w:val="4"/>
        <w:keepNext w:val="0"/>
        <w:numPr>
          <w:ilvl w:val="0"/>
          <w:numId w:val="0"/>
        </w:numPr>
        <w:ind w:firstLine="560" w:firstLineChars="200"/>
        <w:rPr>
          <w:rFonts w:ascii="Times New Roman" w:hAnsi="Times New Roman"/>
        </w:rPr>
      </w:pPr>
      <w:r>
        <w:rPr>
          <w:rFonts w:ascii="Times New Roman" w:hAnsi="Times New Roman"/>
        </w:rPr>
        <w:t>9.2.3乙方1签订的可能对特许经营业务有重大影响的合同、协议或意向书。</w:t>
      </w:r>
    </w:p>
    <w:p>
      <w:pPr>
        <w:pStyle w:val="4"/>
        <w:keepNext w:val="0"/>
        <w:numPr>
          <w:ilvl w:val="0"/>
          <w:numId w:val="0"/>
        </w:numPr>
        <w:ind w:firstLine="560" w:firstLineChars="200"/>
        <w:rPr>
          <w:rFonts w:ascii="Times New Roman" w:hAnsi="Times New Roman"/>
        </w:rPr>
      </w:pPr>
      <w:r>
        <w:rPr>
          <w:rFonts w:ascii="Times New Roman" w:hAnsi="Times New Roman"/>
        </w:rPr>
        <w:t>9.2.4发生影响车辆通行费单价、安全、技术、质量、服务的重大事项。</w:t>
      </w:r>
    </w:p>
    <w:p>
      <w:pPr>
        <w:pStyle w:val="4"/>
        <w:keepNext w:val="0"/>
        <w:numPr>
          <w:ilvl w:val="0"/>
          <w:numId w:val="0"/>
        </w:numPr>
        <w:ind w:firstLine="560" w:firstLineChars="200"/>
        <w:rPr>
          <w:rFonts w:ascii="Times New Roman" w:hAnsi="Times New Roman"/>
        </w:rPr>
      </w:pPr>
      <w:r>
        <w:rPr>
          <w:rFonts w:ascii="Times New Roman" w:hAnsi="Times New Roman"/>
        </w:rPr>
        <w:t>9.2.5其他对乙方1的特许经营业务有重大影响的事项。</w:t>
      </w:r>
    </w:p>
    <w:p>
      <w:pPr>
        <w:pStyle w:val="4"/>
        <w:keepNext w:val="0"/>
        <w:numPr>
          <w:ilvl w:val="0"/>
          <w:numId w:val="0"/>
        </w:numPr>
        <w:ind w:firstLine="560" w:firstLineChars="200"/>
        <w:rPr>
          <w:rFonts w:ascii="Times New Roman" w:hAnsi="Times New Roman"/>
        </w:rPr>
      </w:pPr>
      <w:r>
        <w:rPr>
          <w:rFonts w:ascii="Times New Roman" w:hAnsi="Times New Roman"/>
        </w:rPr>
        <w:t>9.2.6 甲方根据监管需要或其他需要，要求乙方1提供的其他相关资料。</w:t>
      </w:r>
    </w:p>
    <w:p>
      <w:pPr>
        <w:pStyle w:val="3"/>
        <w:keepNext w:val="0"/>
        <w:keepLines w:val="0"/>
        <w:widowControl w:val="0"/>
        <w:numPr>
          <w:ilvl w:val="0"/>
          <w:numId w:val="0"/>
        </w:numPr>
        <w:rPr>
          <w:rFonts w:ascii="Times New Roman" w:hAnsi="Times New Roman"/>
        </w:rPr>
      </w:pPr>
      <w:bookmarkStart w:id="169" w:name="_Toc482120722"/>
      <w:bookmarkStart w:id="170" w:name="_Toc68593558"/>
      <w:r>
        <w:rPr>
          <w:rFonts w:ascii="Times New Roman" w:hAnsi="Times New Roman"/>
        </w:rPr>
        <w:t>9.3  中期评估</w:t>
      </w:r>
      <w:bookmarkEnd w:id="169"/>
      <w:bookmarkEnd w:id="170"/>
    </w:p>
    <w:p>
      <w:pPr>
        <w:pStyle w:val="4"/>
        <w:keepNext w:val="0"/>
        <w:numPr>
          <w:ilvl w:val="0"/>
          <w:numId w:val="0"/>
        </w:numPr>
        <w:ind w:firstLine="560" w:firstLineChars="200"/>
        <w:rPr>
          <w:rFonts w:ascii="Times New Roman" w:hAnsi="Times New Roman"/>
        </w:rPr>
      </w:pPr>
      <w:r>
        <w:rPr>
          <w:rFonts w:ascii="Times New Roman" w:hAnsi="Times New Roman"/>
        </w:rPr>
        <w:t>9.3.1甲方应当组织专家或共同委托具备相应资质条件的第三方专业机构对项目进行中期评估，评估内容包括但不限于：项目实际运营状况、未来交通量及收益预测、乙方1在实际运营年限全投资内部收益率（税后）测算、超额收益测算等。委托第三方机构的费用由乙方1承担。</w:t>
      </w:r>
    </w:p>
    <w:p>
      <w:pPr>
        <w:pStyle w:val="4"/>
        <w:keepNext w:val="0"/>
        <w:numPr>
          <w:ilvl w:val="0"/>
          <w:numId w:val="0"/>
        </w:numPr>
        <w:ind w:firstLine="560" w:firstLineChars="200"/>
        <w:rPr>
          <w:rFonts w:ascii="Times New Roman" w:hAnsi="Times New Roman"/>
        </w:rPr>
      </w:pPr>
      <w:r>
        <w:rPr>
          <w:rFonts w:ascii="Times New Roman" w:hAnsi="Times New Roman"/>
        </w:rPr>
        <w:t>9.3.2中期评估原则上每五（5）年评估一次，特殊情况下（如项目实际情况与投标时估计情况存在较大偏差）可以实施年度评估，对问题予以处理或纠正，乙方1及乙方2对甲方开展的中期评估工作应给予积极且充分的配合。</w:t>
      </w:r>
    </w:p>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2"/>
        <w:keepNext w:val="0"/>
        <w:ind w:right="0" w:rightChars="0"/>
        <w:rPr>
          <w:rFonts w:ascii="Times New Roman" w:hAnsi="Times New Roman"/>
          <w:lang w:eastAsia="zh-CN"/>
        </w:rPr>
      </w:pPr>
      <w:bookmarkStart w:id="171" w:name="page61"/>
      <w:bookmarkEnd w:id="171"/>
      <w:bookmarkStart w:id="172" w:name="_Toc482120723"/>
      <w:bookmarkStart w:id="173" w:name="_Toc68593559"/>
      <w:bookmarkStart w:id="174" w:name="_Toc480978646"/>
      <w:r>
        <w:rPr>
          <w:rFonts w:ascii="Times New Roman" w:hAnsi="Times New Roman"/>
          <w:lang w:eastAsia="zh-CN"/>
        </w:rPr>
        <w:t>第10条  收费管理</w:t>
      </w:r>
      <w:bookmarkEnd w:id="172"/>
      <w:bookmarkEnd w:id="173"/>
      <w:bookmarkEnd w:id="174"/>
    </w:p>
    <w:p>
      <w:pPr>
        <w:pStyle w:val="3"/>
        <w:keepNext w:val="0"/>
        <w:keepLines w:val="0"/>
        <w:widowControl w:val="0"/>
        <w:numPr>
          <w:ilvl w:val="0"/>
          <w:numId w:val="0"/>
        </w:numPr>
        <w:rPr>
          <w:rFonts w:ascii="Times New Roman" w:hAnsi="Times New Roman"/>
        </w:rPr>
      </w:pPr>
      <w:bookmarkStart w:id="175" w:name="_Toc482120724"/>
      <w:bookmarkStart w:id="176" w:name="_Toc68593560"/>
      <w:r>
        <w:rPr>
          <w:rFonts w:ascii="Times New Roman" w:hAnsi="Times New Roman"/>
        </w:rPr>
        <w:t>10.1  收费站的管理</w:t>
      </w:r>
      <w:bookmarkEnd w:id="175"/>
      <w:bookmarkEnd w:id="176"/>
    </w:p>
    <w:p>
      <w:pPr>
        <w:pStyle w:val="4"/>
        <w:keepNext w:val="0"/>
        <w:numPr>
          <w:ilvl w:val="0"/>
          <w:numId w:val="0"/>
        </w:numPr>
        <w:ind w:firstLine="560" w:firstLineChars="200"/>
        <w:rPr>
          <w:rFonts w:ascii="Times New Roman" w:hAnsi="Times New Roman"/>
        </w:rPr>
      </w:pPr>
      <w:r>
        <w:rPr>
          <w:rFonts w:ascii="Times New Roman" w:hAnsi="Times New Roman"/>
        </w:rPr>
        <w:t>10.1.1收费站的管理应遵守国家和本省的有关规定，文明服务、规范管理、安全保畅。</w:t>
      </w:r>
    </w:p>
    <w:p>
      <w:pPr>
        <w:pStyle w:val="4"/>
        <w:keepNext w:val="0"/>
        <w:numPr>
          <w:ilvl w:val="0"/>
          <w:numId w:val="0"/>
        </w:numPr>
        <w:ind w:firstLine="560" w:firstLineChars="200"/>
        <w:rPr>
          <w:rFonts w:ascii="Times New Roman" w:hAnsi="Times New Roman"/>
        </w:rPr>
      </w:pPr>
      <w:r>
        <w:rPr>
          <w:rFonts w:ascii="Times New Roman" w:hAnsi="Times New Roman"/>
        </w:rPr>
        <w:t>10.1.2收费站的设立、迁移、撤销，应报甲方会同省级有关部门初审后，报省政府批准。</w:t>
      </w:r>
    </w:p>
    <w:p>
      <w:pPr>
        <w:pStyle w:val="4"/>
        <w:keepNext w:val="0"/>
        <w:numPr>
          <w:ilvl w:val="0"/>
          <w:numId w:val="0"/>
        </w:numPr>
        <w:ind w:firstLine="560" w:firstLineChars="200"/>
        <w:rPr>
          <w:rFonts w:ascii="Times New Roman" w:hAnsi="Times New Roman"/>
        </w:rPr>
      </w:pPr>
      <w:r>
        <w:rPr>
          <w:rFonts w:ascii="Times New Roman" w:hAnsi="Times New Roman"/>
        </w:rPr>
        <w:t>10.1.3收费站车道的设置符合国家及本省等相关技术规范，其数量应满足车流量的要求。当车道数不能满足车流量的需要时，应按照省级政府有关部门的指令适时增加。</w:t>
      </w:r>
    </w:p>
    <w:p>
      <w:pPr>
        <w:pStyle w:val="4"/>
        <w:keepNext w:val="0"/>
        <w:numPr>
          <w:ilvl w:val="0"/>
          <w:numId w:val="0"/>
        </w:numPr>
        <w:ind w:firstLine="560" w:firstLineChars="200"/>
        <w:rPr>
          <w:rFonts w:ascii="Times New Roman" w:hAnsi="Times New Roman"/>
        </w:rPr>
      </w:pPr>
      <w:r>
        <w:rPr>
          <w:rFonts w:ascii="Times New Roman" w:hAnsi="Times New Roman"/>
        </w:rPr>
        <w:t>10.1.4乙方1不得随意关闭车道而造成交通不畅。</w:t>
      </w:r>
    </w:p>
    <w:p>
      <w:pPr>
        <w:pStyle w:val="3"/>
        <w:keepNext w:val="0"/>
        <w:keepLines w:val="0"/>
        <w:widowControl w:val="0"/>
        <w:numPr>
          <w:ilvl w:val="0"/>
          <w:numId w:val="0"/>
        </w:numPr>
        <w:rPr>
          <w:rFonts w:ascii="Times New Roman" w:hAnsi="Times New Roman"/>
        </w:rPr>
      </w:pPr>
      <w:bookmarkStart w:id="177" w:name="_Toc482120725"/>
      <w:bookmarkStart w:id="178" w:name="_Toc68593561"/>
      <w:r>
        <w:rPr>
          <w:rFonts w:ascii="Times New Roman" w:hAnsi="Times New Roman"/>
        </w:rPr>
        <w:t>10.2  收费联网</w:t>
      </w:r>
      <w:bookmarkEnd w:id="177"/>
      <w:bookmarkEnd w:id="178"/>
    </w:p>
    <w:p>
      <w:pPr>
        <w:pStyle w:val="4"/>
        <w:keepNext w:val="0"/>
        <w:numPr>
          <w:ilvl w:val="0"/>
          <w:numId w:val="0"/>
        </w:numPr>
        <w:ind w:firstLine="560" w:firstLineChars="200"/>
        <w:rPr>
          <w:rFonts w:ascii="Times New Roman" w:hAnsi="Times New Roman"/>
        </w:rPr>
      </w:pPr>
      <w:r>
        <w:rPr>
          <w:rFonts w:ascii="Times New Roman" w:hAnsi="Times New Roman"/>
        </w:rPr>
        <w:t>项目建成后，应与本省其他高速公路实行联网收费。乙方1作为联网收费成员单位之一，应遵守本省有关联网收费的统一规则，共同维护高速公路联网收费系统安全、顺畅、高效运行，维护联网收费单位共同合法权益。</w:t>
      </w:r>
    </w:p>
    <w:p>
      <w:pPr>
        <w:pStyle w:val="4"/>
        <w:keepNext w:val="0"/>
        <w:numPr>
          <w:ilvl w:val="0"/>
          <w:numId w:val="0"/>
        </w:numPr>
        <w:ind w:firstLine="560" w:firstLineChars="200"/>
        <w:rPr>
          <w:rFonts w:ascii="Times New Roman" w:hAnsi="Times New Roman"/>
        </w:rPr>
      </w:pPr>
      <w:r>
        <w:rPr>
          <w:rFonts w:ascii="Times New Roman" w:hAnsi="Times New Roman"/>
        </w:rPr>
        <w:t>10.2.1联网收费指：高速公路联网收费为保留入/出口收费站的开放式分段收费模式，即在高速公路断面设置ETC门架系统，实现所有车辆分段计费。采取部、省两级结算模式。部省联网中心完成跨省ETC通行费清分结算，以及跨省MTC通行费拆分结算。省联网中心完成省（区、市）内ETC和MTC通行费的拆分结算。</w:t>
      </w:r>
      <w:bookmarkStart w:id="179" w:name="page62"/>
      <w:bookmarkEnd w:id="179"/>
    </w:p>
    <w:p>
      <w:pPr>
        <w:pStyle w:val="4"/>
        <w:keepNext w:val="0"/>
        <w:numPr>
          <w:ilvl w:val="0"/>
          <w:numId w:val="0"/>
        </w:numPr>
        <w:ind w:firstLine="560" w:firstLineChars="200"/>
        <w:rPr>
          <w:rFonts w:ascii="Times New Roman" w:hAnsi="Times New Roman"/>
        </w:rPr>
      </w:pPr>
      <w:r>
        <w:rPr>
          <w:rFonts w:ascii="Times New Roman" w:hAnsi="Times New Roman"/>
        </w:rPr>
        <w:t>10.2.2全省高速公路联网收费系统由甲方统一开发，系统开发及维护费用由各联网收费成员单位分担。</w:t>
      </w:r>
    </w:p>
    <w:p>
      <w:pPr>
        <w:pStyle w:val="4"/>
        <w:keepNext w:val="0"/>
        <w:numPr>
          <w:ilvl w:val="0"/>
          <w:numId w:val="0"/>
        </w:numPr>
        <w:ind w:firstLine="560" w:firstLineChars="200"/>
        <w:rPr>
          <w:rFonts w:ascii="Times New Roman" w:hAnsi="Times New Roman"/>
        </w:rPr>
      </w:pPr>
      <w:r>
        <w:rPr>
          <w:rFonts w:ascii="Times New Roman" w:hAnsi="Times New Roman"/>
        </w:rPr>
        <w:t>10.2.3实行电子不停车收费。乙方1应服从国家和陕西省关于推广电子不停车收费技术工作的安排布置。</w:t>
      </w:r>
    </w:p>
    <w:p>
      <w:pPr>
        <w:pStyle w:val="4"/>
        <w:keepNext w:val="0"/>
        <w:numPr>
          <w:ilvl w:val="0"/>
          <w:numId w:val="0"/>
        </w:numPr>
        <w:ind w:firstLine="560" w:firstLineChars="200"/>
        <w:rPr>
          <w:rFonts w:ascii="Times New Roman" w:hAnsi="Times New Roman"/>
        </w:rPr>
      </w:pPr>
      <w:r>
        <w:rPr>
          <w:rFonts w:ascii="Times New Roman" w:hAnsi="Times New Roman"/>
        </w:rPr>
        <w:t>10.2.4联网收费管理机构为保障联网收费系统正常运行、提高运行效率和质量，而统一组织实施的行动所发生的直接费用，由各联网收费成员单位按照相关办法予以分担。</w:t>
      </w:r>
    </w:p>
    <w:p>
      <w:pPr>
        <w:pStyle w:val="4"/>
        <w:keepNext w:val="0"/>
        <w:numPr>
          <w:ilvl w:val="0"/>
          <w:numId w:val="0"/>
        </w:numPr>
        <w:ind w:firstLine="560" w:firstLineChars="200"/>
        <w:rPr>
          <w:rFonts w:ascii="Times New Roman" w:hAnsi="Times New Roman"/>
        </w:rPr>
      </w:pPr>
      <w:r>
        <w:rPr>
          <w:rFonts w:ascii="Times New Roman" w:hAnsi="Times New Roman"/>
        </w:rPr>
        <w:t>10.2.5联网收费成员单位应严格遵守《收费公路联网收费运营和服务规程》，以及国家和陕西省政府关于联网收费的相关管理制度。</w:t>
      </w:r>
    </w:p>
    <w:p>
      <w:pPr>
        <w:pStyle w:val="3"/>
        <w:keepNext w:val="0"/>
        <w:keepLines w:val="0"/>
        <w:widowControl w:val="0"/>
        <w:numPr>
          <w:ilvl w:val="0"/>
          <w:numId w:val="0"/>
        </w:numPr>
        <w:rPr>
          <w:rFonts w:ascii="Times New Roman" w:hAnsi="Times New Roman"/>
        </w:rPr>
      </w:pPr>
      <w:bookmarkStart w:id="180" w:name="page63"/>
      <w:bookmarkEnd w:id="180"/>
      <w:bookmarkStart w:id="181" w:name="_Toc482120726"/>
      <w:bookmarkStart w:id="182" w:name="_Toc68593562"/>
      <w:r>
        <w:rPr>
          <w:rFonts w:ascii="Times New Roman" w:hAnsi="Times New Roman"/>
        </w:rPr>
        <w:t>10.3  联网收费机电系统</w:t>
      </w:r>
      <w:bookmarkEnd w:id="181"/>
      <w:bookmarkEnd w:id="182"/>
    </w:p>
    <w:p>
      <w:pPr>
        <w:pStyle w:val="4"/>
        <w:keepNext w:val="0"/>
        <w:numPr>
          <w:ilvl w:val="0"/>
          <w:numId w:val="0"/>
        </w:numPr>
        <w:ind w:firstLine="560" w:firstLineChars="200"/>
        <w:rPr>
          <w:rFonts w:ascii="Times New Roman" w:hAnsi="Times New Roman"/>
        </w:rPr>
      </w:pPr>
      <w:r>
        <w:rPr>
          <w:rFonts w:ascii="Times New Roman" w:hAnsi="Times New Roman"/>
        </w:rPr>
        <w:t>10.3.1高速公路在建设期应同步建设保障联网收费运营的机电配套工程。</w:t>
      </w:r>
    </w:p>
    <w:p>
      <w:pPr>
        <w:pStyle w:val="4"/>
        <w:keepNext w:val="0"/>
        <w:numPr>
          <w:ilvl w:val="0"/>
          <w:numId w:val="0"/>
        </w:numPr>
        <w:ind w:firstLine="560" w:firstLineChars="200"/>
        <w:rPr>
          <w:rFonts w:ascii="Times New Roman" w:hAnsi="Times New Roman"/>
        </w:rPr>
      </w:pPr>
      <w:r>
        <w:rPr>
          <w:rFonts w:ascii="Times New Roman" w:hAnsi="Times New Roman"/>
        </w:rPr>
        <w:t>10.3.2高速公路联网收费、通信、监控系统建设，符合交通运输部《收费公路联网收费技术要求》、《陕西省高速公路联网收费技术要求》、《陕西省高速公路网综合监控系统建设指导意见》、《高速公路ETC门架系统技术要求》、《信息安全技术网络安全等级保护基本要求》以及电子不停车收费（ETC）全国联网的其它技术要求。</w:t>
      </w:r>
    </w:p>
    <w:p>
      <w:pPr>
        <w:pStyle w:val="4"/>
        <w:keepNext w:val="0"/>
        <w:numPr>
          <w:ilvl w:val="0"/>
          <w:numId w:val="0"/>
        </w:numPr>
        <w:ind w:firstLine="560" w:firstLineChars="200"/>
        <w:rPr>
          <w:rFonts w:ascii="Times New Roman" w:hAnsi="Times New Roman"/>
        </w:rPr>
      </w:pPr>
      <w:r>
        <w:rPr>
          <w:rFonts w:ascii="Times New Roman" w:hAnsi="Times New Roman"/>
        </w:rPr>
        <w:t>10.3.3在特许经营期，联网收费成员单位负责维护、管理所辖路段联网收费机电系统，保证联网收费机电系统的正常运转，确保原始数据的安全性、完整性以及通信线路的畅通。</w:t>
      </w:r>
    </w:p>
    <w:p>
      <w:pPr>
        <w:pStyle w:val="3"/>
        <w:keepNext w:val="0"/>
        <w:keepLines w:val="0"/>
        <w:widowControl w:val="0"/>
        <w:numPr>
          <w:ilvl w:val="0"/>
          <w:numId w:val="0"/>
        </w:numPr>
        <w:rPr>
          <w:rFonts w:ascii="Times New Roman" w:hAnsi="Times New Roman"/>
        </w:rPr>
      </w:pPr>
      <w:bookmarkStart w:id="183" w:name="_Toc482120727"/>
      <w:bookmarkStart w:id="184" w:name="_Toc68593563"/>
      <w:r>
        <w:rPr>
          <w:rFonts w:ascii="Times New Roman" w:hAnsi="Times New Roman"/>
        </w:rPr>
        <w:t>10.4  计费方式及收费标准</w:t>
      </w:r>
      <w:bookmarkEnd w:id="183"/>
      <w:bookmarkEnd w:id="184"/>
    </w:p>
    <w:p>
      <w:pPr>
        <w:pStyle w:val="4"/>
        <w:keepNext w:val="0"/>
        <w:numPr>
          <w:ilvl w:val="0"/>
          <w:numId w:val="0"/>
        </w:numPr>
        <w:ind w:firstLine="560" w:firstLineChars="200"/>
        <w:rPr>
          <w:rFonts w:ascii="Times New Roman" w:hAnsi="Times New Roman"/>
        </w:rPr>
      </w:pPr>
      <w:r>
        <w:rPr>
          <w:rFonts w:ascii="Times New Roman" w:hAnsi="Times New Roman"/>
        </w:rPr>
        <w:t>10.4.1乙方1向道路使用者收取车辆通行费时，对客车按车型对应的收费标准收费收费，货车</w:t>
      </w:r>
      <w:r>
        <w:rPr>
          <w:rFonts w:hint="eastAsia" w:ascii="Times New Roman" w:hAnsi="Times New Roman"/>
        </w:rPr>
        <w:t>及专业作业车辆</w:t>
      </w:r>
      <w:r>
        <w:rPr>
          <w:rFonts w:ascii="Times New Roman" w:hAnsi="Times New Roman"/>
        </w:rPr>
        <w:t>按车（轴）型对应的收费标准收费并同步实施入口治超，若收费方式发生调整，应遵循交通运输部、省政府等有关规定。</w:t>
      </w:r>
    </w:p>
    <w:p>
      <w:pPr>
        <w:pStyle w:val="4"/>
        <w:keepNext w:val="0"/>
        <w:numPr>
          <w:ilvl w:val="0"/>
          <w:numId w:val="0"/>
        </w:numPr>
        <w:ind w:firstLine="560" w:firstLineChars="200"/>
        <w:rPr>
          <w:rFonts w:ascii="Times New Roman" w:hAnsi="Times New Roman"/>
        </w:rPr>
      </w:pPr>
      <w:r>
        <w:rPr>
          <w:rFonts w:ascii="Times New Roman" w:hAnsi="Times New Roman"/>
        </w:rPr>
        <w:t>车型分类标准采用全国统一的车型分类标准，具体参照JT/T489-2019《收费公路车辆通行费车型分类》执行。</w:t>
      </w:r>
    </w:p>
    <w:p>
      <w:pPr>
        <w:pStyle w:val="4"/>
        <w:keepNext w:val="0"/>
        <w:numPr>
          <w:ilvl w:val="0"/>
          <w:numId w:val="0"/>
        </w:numPr>
        <w:ind w:firstLine="560" w:firstLineChars="200"/>
        <w:rPr>
          <w:rFonts w:ascii="Times New Roman" w:hAnsi="Times New Roman"/>
        </w:rPr>
      </w:pPr>
      <w:r>
        <w:rPr>
          <w:rFonts w:ascii="Times New Roman" w:hAnsi="Times New Roman"/>
        </w:rPr>
        <w:t>ETC车辆通过车载单元（OBU）和后台记账形式自动完成扣费；MTC车辆采用5.8GHz复合通行卡（CPC卡）作为通行介质，实现“分段计费、出口收费”。</w:t>
      </w:r>
    </w:p>
    <w:p>
      <w:pPr>
        <w:pStyle w:val="4"/>
        <w:keepNext w:val="0"/>
        <w:numPr>
          <w:ilvl w:val="0"/>
          <w:numId w:val="0"/>
        </w:numPr>
        <w:ind w:firstLine="560" w:firstLineChars="200"/>
        <w:rPr>
          <w:rFonts w:ascii="Times New Roman" w:hAnsi="Times New Roman"/>
        </w:rPr>
      </w:pPr>
      <w:r>
        <w:rPr>
          <w:rFonts w:ascii="Times New Roman" w:hAnsi="Times New Roman"/>
        </w:rPr>
        <w:t>10.4.2经营性高速公路收费实行政府指导价，省政府批准的车辆通行费收费标准为最高限价。</w:t>
      </w:r>
    </w:p>
    <w:p>
      <w:pPr>
        <w:pStyle w:val="4"/>
        <w:keepNext w:val="0"/>
        <w:numPr>
          <w:ilvl w:val="0"/>
          <w:numId w:val="0"/>
        </w:numPr>
        <w:ind w:firstLine="560" w:firstLineChars="200"/>
        <w:rPr>
          <w:rFonts w:ascii="Times New Roman" w:hAnsi="Times New Roman"/>
        </w:rPr>
      </w:pPr>
      <w:r>
        <w:rPr>
          <w:rFonts w:ascii="Times New Roman" w:hAnsi="Times New Roman"/>
        </w:rPr>
        <w:t>10.4.3在不超过最高限价的前提下，乙方1可根据经营的需要自主定价，但在新的收费标准执行前，至少提前三十（30）日</w:t>
      </w:r>
      <w:bookmarkStart w:id="185" w:name="page64"/>
      <w:bookmarkEnd w:id="185"/>
      <w:r>
        <w:rPr>
          <w:rFonts w:ascii="Times New Roman" w:hAnsi="Times New Roman"/>
        </w:rPr>
        <w:t>抄送省交通运输厅、省发展改革委，并应向社会公告，且新的收费标准最少应执行半年。</w:t>
      </w:r>
    </w:p>
    <w:p>
      <w:pPr>
        <w:pStyle w:val="4"/>
        <w:keepNext w:val="0"/>
        <w:numPr>
          <w:ilvl w:val="0"/>
          <w:numId w:val="0"/>
        </w:numPr>
        <w:ind w:firstLine="560" w:firstLineChars="200"/>
        <w:rPr>
          <w:rFonts w:ascii="Times New Roman" w:hAnsi="Times New Roman"/>
        </w:rPr>
      </w:pPr>
      <w:r>
        <w:rPr>
          <w:rFonts w:ascii="Times New Roman" w:hAnsi="Times New Roman"/>
        </w:rPr>
        <w:t>10.4.4高速公路收费标准的制定应由甲方委托具有相关资质的第三方进行成本调查，为政府实施价格听证（论证）提供依据。乙方1应提供工程可行性研究报告、施工图批复、车流量预测等相关资料，配合做好成本调查、价格听证（论证）等工作。</w:t>
      </w:r>
    </w:p>
    <w:p>
      <w:pPr>
        <w:pStyle w:val="3"/>
        <w:keepNext w:val="0"/>
        <w:keepLines w:val="0"/>
        <w:widowControl w:val="0"/>
        <w:numPr>
          <w:ilvl w:val="0"/>
          <w:numId w:val="0"/>
        </w:numPr>
        <w:rPr>
          <w:rFonts w:ascii="Times New Roman" w:hAnsi="Times New Roman"/>
        </w:rPr>
      </w:pPr>
      <w:bookmarkStart w:id="186" w:name="_Toc68593564"/>
      <w:bookmarkStart w:id="187" w:name="_Toc482120728"/>
      <w:r>
        <w:rPr>
          <w:rFonts w:ascii="Times New Roman" w:hAnsi="Times New Roman"/>
        </w:rPr>
        <w:t>10.5  收费标准确定</w:t>
      </w:r>
      <w:bookmarkEnd w:id="186"/>
      <w:bookmarkEnd w:id="187"/>
    </w:p>
    <w:p>
      <w:pPr>
        <w:pStyle w:val="4"/>
        <w:keepNext w:val="0"/>
        <w:numPr>
          <w:ilvl w:val="0"/>
          <w:numId w:val="0"/>
        </w:numPr>
        <w:ind w:firstLine="560" w:firstLineChars="200"/>
        <w:rPr>
          <w:rFonts w:ascii="Times New Roman" w:hAnsi="Times New Roman"/>
        </w:rPr>
      </w:pPr>
      <w:r>
        <w:rPr>
          <w:rFonts w:ascii="Times New Roman" w:hAnsi="Times New Roman"/>
        </w:rPr>
        <w:t>乙方1应当在工程交工验收前三（3）个月，向省人民政府价格行政主管部门提出车辆通行费标准方案的听证（论证）申请。省人民政府价格行政主管部门应当会同有关部门按照有关规定组织听证（论证）。</w:t>
      </w:r>
    </w:p>
    <w:p>
      <w:pPr>
        <w:pStyle w:val="3"/>
        <w:keepNext w:val="0"/>
        <w:keepLines w:val="0"/>
        <w:widowControl w:val="0"/>
        <w:numPr>
          <w:ilvl w:val="0"/>
          <w:numId w:val="0"/>
        </w:numPr>
        <w:rPr>
          <w:rFonts w:ascii="Times New Roman" w:hAnsi="Times New Roman"/>
        </w:rPr>
      </w:pPr>
      <w:bookmarkStart w:id="188" w:name="_Toc68593565"/>
      <w:bookmarkStart w:id="189" w:name="_Toc482120729"/>
      <w:r>
        <w:rPr>
          <w:rFonts w:ascii="Times New Roman" w:hAnsi="Times New Roman"/>
        </w:rPr>
        <w:t>10.6  设站审批</w:t>
      </w:r>
      <w:bookmarkEnd w:id="188"/>
      <w:bookmarkEnd w:id="189"/>
    </w:p>
    <w:p>
      <w:pPr>
        <w:pStyle w:val="4"/>
        <w:keepNext w:val="0"/>
        <w:numPr>
          <w:ilvl w:val="0"/>
          <w:numId w:val="0"/>
        </w:numPr>
        <w:ind w:firstLine="560" w:firstLineChars="200"/>
        <w:rPr>
          <w:rFonts w:ascii="Times New Roman" w:hAnsi="Times New Roman"/>
        </w:rPr>
      </w:pPr>
      <w:r>
        <w:rPr>
          <w:rFonts w:ascii="Times New Roman" w:hAnsi="Times New Roman"/>
        </w:rPr>
        <w:t>10.6.1车辆通行费标准方案通过听证（论证）的，乙方1向省人民政府交通行政主管部门提出设置公路收费站和核定收费标准（最高限价）、收费期限的申请，并提交下列资料：</w:t>
      </w:r>
    </w:p>
    <w:p>
      <w:pPr>
        <w:pStyle w:val="4"/>
        <w:keepNext w:val="0"/>
        <w:numPr>
          <w:ilvl w:val="0"/>
          <w:numId w:val="0"/>
        </w:numPr>
        <w:ind w:firstLine="560" w:firstLineChars="200"/>
        <w:rPr>
          <w:rFonts w:ascii="Times New Roman" w:hAnsi="Times New Roman"/>
        </w:rPr>
      </w:pPr>
      <w:r>
        <w:rPr>
          <w:rFonts w:ascii="Times New Roman" w:hAnsi="Times New Roman"/>
        </w:rPr>
        <w:t>（a）收费公路经营管理者的法人资格证明；</w:t>
      </w:r>
    </w:p>
    <w:p>
      <w:pPr>
        <w:pStyle w:val="4"/>
        <w:keepNext w:val="0"/>
        <w:numPr>
          <w:ilvl w:val="0"/>
          <w:numId w:val="0"/>
        </w:numPr>
        <w:ind w:firstLine="560" w:firstLineChars="200"/>
        <w:rPr>
          <w:rFonts w:ascii="Times New Roman" w:hAnsi="Times New Roman"/>
        </w:rPr>
      </w:pPr>
      <w:r>
        <w:rPr>
          <w:rFonts w:ascii="Times New Roman" w:hAnsi="Times New Roman"/>
        </w:rPr>
        <w:t>（b）收费公路项目建设批准文件；</w:t>
      </w:r>
    </w:p>
    <w:p>
      <w:pPr>
        <w:pStyle w:val="4"/>
        <w:keepNext w:val="0"/>
        <w:numPr>
          <w:ilvl w:val="0"/>
          <w:numId w:val="0"/>
        </w:numPr>
        <w:ind w:firstLine="560" w:firstLineChars="200"/>
        <w:rPr>
          <w:rFonts w:ascii="Times New Roman" w:hAnsi="Times New Roman"/>
        </w:rPr>
      </w:pPr>
      <w:r>
        <w:rPr>
          <w:rFonts w:ascii="Times New Roman" w:hAnsi="Times New Roman"/>
        </w:rPr>
        <w:t>（c）收费公路工程项目建设投资以及贷款明细报告；</w:t>
      </w:r>
    </w:p>
    <w:p>
      <w:pPr>
        <w:pStyle w:val="4"/>
        <w:keepNext w:val="0"/>
        <w:numPr>
          <w:ilvl w:val="0"/>
          <w:numId w:val="0"/>
        </w:numPr>
        <w:ind w:firstLine="560" w:firstLineChars="200"/>
        <w:rPr>
          <w:rFonts w:ascii="Times New Roman" w:hAnsi="Times New Roman"/>
        </w:rPr>
      </w:pPr>
      <w:r>
        <w:rPr>
          <w:rFonts w:ascii="Times New Roman" w:hAnsi="Times New Roman"/>
        </w:rPr>
        <w:t>（d）公路建设项目的交工验收报告；</w:t>
      </w:r>
    </w:p>
    <w:p>
      <w:pPr>
        <w:pStyle w:val="4"/>
        <w:keepNext w:val="0"/>
        <w:numPr>
          <w:ilvl w:val="0"/>
          <w:numId w:val="0"/>
        </w:numPr>
        <w:ind w:firstLine="560" w:firstLineChars="200"/>
        <w:rPr>
          <w:rFonts w:ascii="Times New Roman" w:hAnsi="Times New Roman"/>
        </w:rPr>
      </w:pPr>
      <w:r>
        <w:rPr>
          <w:rFonts w:ascii="Times New Roman" w:hAnsi="Times New Roman"/>
        </w:rPr>
        <w:t>（e）收费站具体位置方位图、收费站人员编制及说明、收费期限以及收费效益测算报告、成本调查报告、听证（论证）会报告；</w:t>
      </w:r>
    </w:p>
    <w:p>
      <w:pPr>
        <w:pStyle w:val="14"/>
        <w:keepNext w:val="0"/>
        <w:ind w:left="0" w:leftChars="0" w:firstLine="560" w:firstLineChars="200"/>
        <w:rPr>
          <w:rFonts w:ascii="Times New Roman" w:hAnsi="Times New Roman" w:cs="Times New Roman"/>
        </w:rPr>
      </w:pPr>
      <w:r>
        <w:rPr>
          <w:rFonts w:ascii="Times New Roman" w:hAnsi="Times New Roman" w:cs="Times New Roman"/>
        </w:rPr>
        <w:t>（f）项目投资协议；</w:t>
      </w:r>
    </w:p>
    <w:p>
      <w:pPr>
        <w:pStyle w:val="4"/>
        <w:keepNext w:val="0"/>
        <w:numPr>
          <w:ilvl w:val="0"/>
          <w:numId w:val="0"/>
        </w:numPr>
        <w:ind w:firstLine="560" w:firstLineChars="200"/>
        <w:rPr>
          <w:rFonts w:ascii="Times New Roman" w:hAnsi="Times New Roman"/>
        </w:rPr>
      </w:pPr>
      <w:r>
        <w:rPr>
          <w:rFonts w:ascii="Times New Roman" w:hAnsi="Times New Roman"/>
        </w:rPr>
        <w:t>（g）法律、法规、规章规定的其他相关资料等。</w:t>
      </w:r>
      <w:bookmarkStart w:id="190" w:name="page65"/>
      <w:bookmarkEnd w:id="190"/>
    </w:p>
    <w:p>
      <w:pPr>
        <w:pStyle w:val="4"/>
        <w:keepNext w:val="0"/>
        <w:numPr>
          <w:ilvl w:val="0"/>
          <w:numId w:val="0"/>
        </w:numPr>
        <w:ind w:firstLine="560" w:firstLineChars="200"/>
        <w:rPr>
          <w:rFonts w:ascii="Times New Roman" w:hAnsi="Times New Roman"/>
        </w:rPr>
      </w:pPr>
      <w:r>
        <w:rPr>
          <w:rFonts w:ascii="Times New Roman" w:hAnsi="Times New Roman"/>
        </w:rPr>
        <w:t>10.6.2乙方1应配合省级有关部门针对设站收费审批所开展的工作，及时、真实提供相关资料。</w:t>
      </w:r>
    </w:p>
    <w:p>
      <w:pPr>
        <w:pStyle w:val="3"/>
        <w:keepNext w:val="0"/>
        <w:keepLines w:val="0"/>
        <w:widowControl w:val="0"/>
        <w:numPr>
          <w:ilvl w:val="0"/>
          <w:numId w:val="0"/>
        </w:numPr>
        <w:rPr>
          <w:rFonts w:ascii="Times New Roman" w:hAnsi="Times New Roman"/>
        </w:rPr>
      </w:pPr>
      <w:bookmarkStart w:id="191" w:name="_Toc482120730"/>
      <w:bookmarkStart w:id="192" w:name="_Toc68593566"/>
      <w:r>
        <w:rPr>
          <w:rFonts w:ascii="Times New Roman" w:hAnsi="Times New Roman"/>
        </w:rPr>
        <w:t>10.7  收费年限</w:t>
      </w:r>
      <w:bookmarkEnd w:id="191"/>
      <w:bookmarkEnd w:id="192"/>
    </w:p>
    <w:p>
      <w:pPr>
        <w:pStyle w:val="4"/>
        <w:keepNext w:val="0"/>
        <w:numPr>
          <w:ilvl w:val="0"/>
          <w:numId w:val="0"/>
        </w:numPr>
        <w:ind w:firstLine="560" w:firstLineChars="200"/>
        <w:rPr>
          <w:rFonts w:ascii="Times New Roman" w:hAnsi="Times New Roman"/>
        </w:rPr>
      </w:pPr>
      <w:r>
        <w:rPr>
          <w:rFonts w:ascii="Times New Roman" w:hAnsi="Times New Roman"/>
        </w:rPr>
        <w:t>收费年限以省政府批准的设站收费之日起。</w:t>
      </w:r>
    </w:p>
    <w:p>
      <w:pPr>
        <w:pStyle w:val="3"/>
        <w:keepNext w:val="0"/>
        <w:keepLines w:val="0"/>
        <w:widowControl w:val="0"/>
        <w:numPr>
          <w:ilvl w:val="0"/>
          <w:numId w:val="0"/>
        </w:numPr>
        <w:rPr>
          <w:rFonts w:ascii="Times New Roman" w:hAnsi="Times New Roman"/>
        </w:rPr>
      </w:pPr>
      <w:bookmarkStart w:id="193" w:name="_Toc482120731"/>
      <w:bookmarkStart w:id="194" w:name="_Toc68593567"/>
      <w:r>
        <w:rPr>
          <w:rFonts w:ascii="Times New Roman" w:hAnsi="Times New Roman"/>
        </w:rPr>
        <w:t>10.8  车辆通行费减免</w:t>
      </w:r>
      <w:bookmarkEnd w:id="193"/>
      <w:bookmarkEnd w:id="194"/>
    </w:p>
    <w:p>
      <w:pPr>
        <w:pStyle w:val="4"/>
        <w:keepNext w:val="0"/>
        <w:numPr>
          <w:ilvl w:val="0"/>
          <w:numId w:val="0"/>
        </w:numPr>
        <w:ind w:firstLine="560" w:firstLineChars="200"/>
        <w:rPr>
          <w:rFonts w:ascii="Times New Roman" w:hAnsi="Times New Roman"/>
        </w:rPr>
      </w:pPr>
      <w:r>
        <w:rPr>
          <w:rFonts w:ascii="Times New Roman" w:hAnsi="Times New Roman"/>
        </w:rPr>
        <w:t>乙方1应执行国家和陕西省政府关于车辆通行费征收、减免的决定。</w:t>
      </w:r>
    </w:p>
    <w:p>
      <w:pPr>
        <w:pStyle w:val="3"/>
        <w:keepNext w:val="0"/>
        <w:keepLines w:val="0"/>
        <w:widowControl w:val="0"/>
        <w:numPr>
          <w:ilvl w:val="0"/>
          <w:numId w:val="0"/>
        </w:numPr>
        <w:rPr>
          <w:rFonts w:ascii="Times New Roman" w:hAnsi="Times New Roman"/>
        </w:rPr>
      </w:pPr>
      <w:bookmarkStart w:id="195" w:name="_Toc68593568"/>
      <w:bookmarkStart w:id="196" w:name="_Toc482120732"/>
      <w:r>
        <w:rPr>
          <w:rFonts w:ascii="Times New Roman" w:hAnsi="Times New Roman"/>
        </w:rPr>
        <w:t>10.9  统计职责及信息公开</w:t>
      </w:r>
      <w:bookmarkEnd w:id="195"/>
      <w:bookmarkEnd w:id="196"/>
    </w:p>
    <w:p>
      <w:pPr>
        <w:pStyle w:val="4"/>
        <w:keepNext w:val="0"/>
        <w:numPr>
          <w:ilvl w:val="0"/>
          <w:numId w:val="0"/>
        </w:numPr>
        <w:ind w:firstLine="560" w:firstLineChars="200"/>
        <w:rPr>
          <w:rFonts w:ascii="Times New Roman" w:hAnsi="Times New Roman"/>
        </w:rPr>
      </w:pPr>
      <w:r>
        <w:rPr>
          <w:rFonts w:ascii="Times New Roman" w:hAnsi="Times New Roman"/>
        </w:rPr>
        <w:t>10.9.1乙方1应按照交通运输部制定、国家统计局批准、省级交通主管部门组织实施的《收费公路统计报表制度》，真实、准确、完整、及时地提供统计调查所需的资料，接受行业统一监管。不得提供不真实或者不完整的统计资料，不得迟报、拒报统计资料。</w:t>
      </w:r>
    </w:p>
    <w:p>
      <w:pPr>
        <w:pStyle w:val="4"/>
        <w:keepNext w:val="0"/>
        <w:numPr>
          <w:ilvl w:val="0"/>
          <w:numId w:val="0"/>
        </w:numPr>
        <w:ind w:firstLine="560" w:firstLineChars="200"/>
        <w:rPr>
          <w:rFonts w:ascii="Times New Roman" w:hAnsi="Times New Roman"/>
        </w:rPr>
      </w:pPr>
      <w:r>
        <w:rPr>
          <w:rFonts w:ascii="Times New Roman" w:hAnsi="Times New Roman"/>
        </w:rPr>
        <w:t>10.9.2按照法律法规和国、省信息公开相关规定，乙方1应按期公开收费信息，接受社会监督。</w:t>
      </w:r>
    </w:p>
    <w:p>
      <w:pPr>
        <w:pStyle w:val="3"/>
        <w:keepNext w:val="0"/>
        <w:keepLines w:val="0"/>
        <w:widowControl w:val="0"/>
        <w:numPr>
          <w:ilvl w:val="0"/>
          <w:numId w:val="0"/>
        </w:numPr>
        <w:rPr>
          <w:rFonts w:ascii="Times New Roman" w:hAnsi="Times New Roman"/>
        </w:rPr>
      </w:pPr>
      <w:bookmarkStart w:id="197" w:name="_Toc68593569"/>
      <w:bookmarkStart w:id="198" w:name="_Toc482120733"/>
      <w:r>
        <w:rPr>
          <w:rFonts w:ascii="Times New Roman" w:hAnsi="Times New Roman"/>
        </w:rPr>
        <w:t>10.10  优质服务</w:t>
      </w:r>
      <w:bookmarkEnd w:id="197"/>
      <w:bookmarkEnd w:id="198"/>
    </w:p>
    <w:p>
      <w:pPr>
        <w:pStyle w:val="4"/>
        <w:keepNext w:val="0"/>
        <w:numPr>
          <w:ilvl w:val="0"/>
          <w:numId w:val="0"/>
        </w:numPr>
        <w:ind w:firstLine="560" w:firstLineChars="200"/>
        <w:rPr>
          <w:rFonts w:ascii="Times New Roman" w:hAnsi="Times New Roman"/>
        </w:rPr>
      </w:pPr>
      <w:r>
        <w:rPr>
          <w:rFonts w:ascii="Times New Roman" w:hAnsi="Times New Roman"/>
        </w:rPr>
        <w:t>乙方1应按照甲方统一的安排部署，积极开展精神文明建设，为广大司乘提供优质服务。</w:t>
      </w:r>
    </w:p>
    <w:p>
      <w:pPr>
        <w:pStyle w:val="2"/>
        <w:keepNext w:val="0"/>
        <w:ind w:right="0" w:rightChars="0"/>
        <w:rPr>
          <w:rFonts w:ascii="Times New Roman" w:hAnsi="Times New Roman"/>
          <w:lang w:eastAsia="zh-CN"/>
        </w:rPr>
      </w:pPr>
      <w:r>
        <w:rPr>
          <w:rFonts w:ascii="Times New Roman" w:hAnsi="Times New Roman"/>
          <w:lang w:eastAsia="zh-CN"/>
        </w:rPr>
        <w:br w:type="page"/>
      </w:r>
      <w:bookmarkStart w:id="199" w:name="page66"/>
      <w:bookmarkEnd w:id="199"/>
      <w:bookmarkStart w:id="200" w:name="_Toc480978647"/>
      <w:bookmarkStart w:id="201" w:name="_Toc482120734"/>
      <w:bookmarkStart w:id="202" w:name="_Toc68593570"/>
      <w:r>
        <w:rPr>
          <w:rFonts w:ascii="Times New Roman" w:hAnsi="Times New Roman"/>
          <w:lang w:eastAsia="zh-CN"/>
        </w:rPr>
        <w:t>第11条  交通量与</w:t>
      </w:r>
      <w:bookmarkEnd w:id="200"/>
      <w:bookmarkEnd w:id="201"/>
      <w:r>
        <w:rPr>
          <w:rFonts w:ascii="Times New Roman" w:hAnsi="Times New Roman"/>
          <w:lang w:eastAsia="zh-CN"/>
        </w:rPr>
        <w:t>项目内部收益率过高引起的调整</w:t>
      </w:r>
      <w:bookmarkEnd w:id="202"/>
    </w:p>
    <w:p>
      <w:pPr>
        <w:pStyle w:val="3"/>
        <w:keepNext w:val="0"/>
        <w:keepLines w:val="0"/>
        <w:widowControl w:val="0"/>
        <w:numPr>
          <w:ilvl w:val="0"/>
          <w:numId w:val="0"/>
        </w:numPr>
        <w:rPr>
          <w:rFonts w:ascii="Times New Roman" w:hAnsi="Times New Roman"/>
        </w:rPr>
      </w:pPr>
      <w:bookmarkStart w:id="203" w:name="_Toc482120735"/>
      <w:bookmarkStart w:id="204" w:name="_Toc68593571"/>
      <w:r>
        <w:rPr>
          <w:rFonts w:ascii="Times New Roman" w:hAnsi="Times New Roman"/>
        </w:rPr>
        <w:t>11.1  交通量</w:t>
      </w:r>
      <w:bookmarkEnd w:id="203"/>
      <w:bookmarkEnd w:id="204"/>
    </w:p>
    <w:p>
      <w:pPr>
        <w:pStyle w:val="4"/>
        <w:keepNext w:val="0"/>
        <w:numPr>
          <w:ilvl w:val="0"/>
          <w:numId w:val="0"/>
        </w:numPr>
        <w:ind w:firstLine="560" w:firstLineChars="200"/>
        <w:rPr>
          <w:rFonts w:ascii="Times New Roman" w:hAnsi="Times New Roman"/>
        </w:rPr>
      </w:pPr>
      <w:r>
        <w:rPr>
          <w:rFonts w:ascii="Times New Roman" w:hAnsi="Times New Roman"/>
        </w:rPr>
        <w:t>11.1.1《鄠邑经周至至眉县高速公路工程可行性研究报告》中有关交通量的预测，仅供有关各方参考，不可视为甲方的承诺或保证。</w:t>
      </w:r>
    </w:p>
    <w:p>
      <w:pPr>
        <w:pStyle w:val="4"/>
        <w:keepNext w:val="0"/>
        <w:numPr>
          <w:ilvl w:val="0"/>
          <w:numId w:val="0"/>
        </w:numPr>
        <w:ind w:firstLine="560" w:firstLineChars="200"/>
        <w:rPr>
          <w:rFonts w:ascii="Times New Roman" w:hAnsi="Times New Roman"/>
        </w:rPr>
      </w:pPr>
      <w:r>
        <w:rPr>
          <w:rFonts w:ascii="Times New Roman" w:hAnsi="Times New Roman"/>
        </w:rPr>
        <w:t>11.1.2本项目不设置保底交通量，由于交通量增长导致的合理超额收益，甲方不分享；超过合理范围的超额收益，按照11.2条款的约定执行；由于交通量下降导致的亏损部分，甲方不承担。</w:t>
      </w:r>
    </w:p>
    <w:p>
      <w:pPr>
        <w:pStyle w:val="3"/>
        <w:keepNext w:val="0"/>
        <w:keepLines w:val="0"/>
        <w:widowControl w:val="0"/>
        <w:numPr>
          <w:ilvl w:val="0"/>
          <w:numId w:val="0"/>
        </w:numPr>
        <w:rPr>
          <w:rFonts w:ascii="Times New Roman" w:hAnsi="Times New Roman"/>
        </w:rPr>
      </w:pPr>
      <w:bookmarkStart w:id="205" w:name="_Toc482120736"/>
      <w:bookmarkStart w:id="206" w:name="_Toc68593572"/>
      <w:r>
        <w:rPr>
          <w:rFonts w:ascii="Times New Roman" w:hAnsi="Times New Roman"/>
        </w:rPr>
        <w:t xml:space="preserve">11.2  </w:t>
      </w:r>
      <w:bookmarkEnd w:id="205"/>
      <w:r>
        <w:rPr>
          <w:rFonts w:ascii="Times New Roman" w:hAnsi="Times New Roman"/>
        </w:rPr>
        <w:t>由于内部收益率过高引起的调整</w:t>
      </w:r>
      <w:bookmarkEnd w:id="206"/>
    </w:p>
    <w:p>
      <w:pPr>
        <w:pStyle w:val="4"/>
        <w:keepNext w:val="0"/>
        <w:numPr>
          <w:ilvl w:val="0"/>
          <w:numId w:val="0"/>
        </w:numPr>
        <w:ind w:firstLine="560" w:firstLineChars="200"/>
        <w:rPr>
          <w:rFonts w:ascii="Times New Roman" w:hAnsi="Times New Roman"/>
        </w:rPr>
      </w:pPr>
      <w:r>
        <w:rPr>
          <w:rFonts w:ascii="Times New Roman" w:hAnsi="Times New Roman"/>
        </w:rPr>
        <w:t>依据中期评估结果，若乙方1的项目全投资内部收益率（税后）超过（不含）8.00%，则超出部分，甲方有权参与分配。在每五（5）年开展一次的中期评估若经评估项目全投资内部收益率（税后）超过8.00%，则计算当年名义超额收益余额，开始建立超额收益资金台账，自此以后每两（2）年作为一个评估周期，每个评估周期对项目公司财务状况进行一次评估，计算超额收益资金余额，并详细记录在超额收益台账。连续三个评估周期经评估项目全投资内部收益率（税后）超过8.00%，则建立超额收益资金专户，对超额收益实行专户管理，超额收益资金可以弥补后续年度亏损，但未经甲方事先书面同意不得擅自挪为他用，甲方有权对超额收益资金专户随时进行查阅监测。在项目移交前，甲方可对项目公司财务状况进行最终评估，若经评估项目全投资内部收益率(税后)未超过8.00%，则不进行超额收益分配；若超过8.00%，则甲方有权参与超额收益分配，具体超额收益分配方案，由双方在建立超额收益资金专户时共同协商确定。本项目全投资内部收益率（税后）8.00%以下的风险由乙方1自行承担，政府方不提供财政补贴。</w:t>
      </w:r>
    </w:p>
    <w:p>
      <w:pPr>
        <w:pStyle w:val="3"/>
        <w:keepNext w:val="0"/>
        <w:keepLines w:val="0"/>
        <w:widowControl w:val="0"/>
        <w:numPr>
          <w:ilvl w:val="0"/>
          <w:numId w:val="0"/>
        </w:numPr>
        <w:rPr>
          <w:rFonts w:ascii="Times New Roman" w:hAnsi="Times New Roman"/>
        </w:rPr>
      </w:pPr>
      <w:bookmarkStart w:id="207" w:name="_Toc68593573"/>
      <w:bookmarkStart w:id="208" w:name="_Toc482120737"/>
      <w:r>
        <w:rPr>
          <w:rFonts w:ascii="Times New Roman" w:hAnsi="Times New Roman"/>
        </w:rPr>
        <w:t>11.3  价格符合性检查</w:t>
      </w:r>
      <w:bookmarkEnd w:id="207"/>
      <w:bookmarkEnd w:id="208"/>
    </w:p>
    <w:p>
      <w:pPr>
        <w:pStyle w:val="4"/>
        <w:keepNext w:val="0"/>
        <w:numPr>
          <w:ilvl w:val="0"/>
          <w:numId w:val="0"/>
        </w:numPr>
        <w:ind w:firstLine="560" w:firstLineChars="200"/>
        <w:rPr>
          <w:rFonts w:ascii="Times New Roman" w:hAnsi="Times New Roman"/>
        </w:rPr>
      </w:pPr>
      <w:r>
        <w:rPr>
          <w:rFonts w:ascii="Times New Roman" w:hAnsi="Times New Roman"/>
        </w:rPr>
        <w:t>11.3.1甲方或政府指定机构有权在任何时候对乙方1的过路收费价格执行情况进行检查，或可以委托专门机构进行此种检查。</w:t>
      </w:r>
    </w:p>
    <w:p>
      <w:pPr>
        <w:pStyle w:val="4"/>
        <w:keepNext w:val="0"/>
        <w:numPr>
          <w:ilvl w:val="0"/>
          <w:numId w:val="0"/>
        </w:numPr>
        <w:ind w:firstLine="560" w:firstLineChars="200"/>
        <w:rPr>
          <w:rFonts w:ascii="Times New Roman" w:hAnsi="Times New Roman"/>
        </w:rPr>
      </w:pPr>
      <w:r>
        <w:rPr>
          <w:rFonts w:ascii="Times New Roman" w:hAnsi="Times New Roman"/>
        </w:rPr>
        <w:t>11.3.2根据上述检查，如果乙方1未遵守第10条规定，甲方有权根据适用法律和本合同的规定要求乙方1立即纠正。</w:t>
      </w:r>
    </w:p>
    <w:p>
      <w:pPr>
        <w:pStyle w:val="2"/>
        <w:keepNext w:val="0"/>
        <w:ind w:right="0" w:rightChars="0"/>
        <w:rPr>
          <w:rFonts w:ascii="Times New Roman" w:hAnsi="Times New Roman"/>
          <w:lang w:eastAsia="zh-CN"/>
        </w:rPr>
      </w:pPr>
      <w:r>
        <w:rPr>
          <w:rFonts w:ascii="Times New Roman" w:hAnsi="Times New Roman"/>
          <w:lang w:eastAsia="zh-CN"/>
        </w:rPr>
        <w:br w:type="page"/>
      </w:r>
      <w:bookmarkStart w:id="209" w:name="page68"/>
      <w:bookmarkEnd w:id="209"/>
      <w:bookmarkStart w:id="210" w:name="_Toc68593574"/>
      <w:bookmarkStart w:id="211" w:name="_Toc480978648"/>
      <w:bookmarkStart w:id="212" w:name="_Toc482120738"/>
      <w:r>
        <w:rPr>
          <w:rFonts w:ascii="Times New Roman" w:hAnsi="Times New Roman"/>
          <w:lang w:eastAsia="zh-CN"/>
        </w:rPr>
        <w:t>第12条  保险</w:t>
      </w:r>
      <w:bookmarkEnd w:id="210"/>
      <w:bookmarkEnd w:id="211"/>
      <w:bookmarkEnd w:id="212"/>
    </w:p>
    <w:p>
      <w:pPr>
        <w:pStyle w:val="3"/>
        <w:keepNext w:val="0"/>
        <w:keepLines w:val="0"/>
        <w:widowControl w:val="0"/>
        <w:numPr>
          <w:ilvl w:val="0"/>
          <w:numId w:val="0"/>
        </w:numPr>
        <w:rPr>
          <w:rFonts w:ascii="Times New Roman" w:hAnsi="Times New Roman"/>
        </w:rPr>
      </w:pPr>
      <w:bookmarkStart w:id="213" w:name="_Toc68593575"/>
      <w:bookmarkStart w:id="214" w:name="_Toc482120739"/>
      <w:r>
        <w:rPr>
          <w:rFonts w:ascii="Times New Roman" w:hAnsi="Times New Roman"/>
        </w:rPr>
        <w:t>12.1  保险内容</w:t>
      </w:r>
      <w:bookmarkEnd w:id="213"/>
      <w:bookmarkEnd w:id="214"/>
    </w:p>
    <w:p>
      <w:pPr>
        <w:pStyle w:val="4"/>
        <w:keepNext w:val="0"/>
        <w:numPr>
          <w:ilvl w:val="0"/>
          <w:numId w:val="0"/>
        </w:numPr>
        <w:ind w:firstLine="560" w:firstLineChars="200"/>
        <w:rPr>
          <w:rFonts w:ascii="Times New Roman" w:hAnsi="Times New Roman"/>
        </w:rPr>
      </w:pPr>
      <w:r>
        <w:rPr>
          <w:rFonts w:ascii="Times New Roman" w:hAnsi="Times New Roman"/>
        </w:rPr>
        <w:t>特许经营期内，乙方1应根据适用法律和谨慎运营维护惯例，购买和维持相关保险。</w:t>
      </w:r>
    </w:p>
    <w:p>
      <w:pPr>
        <w:pStyle w:val="3"/>
        <w:keepNext w:val="0"/>
        <w:keepLines w:val="0"/>
        <w:widowControl w:val="0"/>
        <w:numPr>
          <w:ilvl w:val="0"/>
          <w:numId w:val="0"/>
        </w:numPr>
        <w:rPr>
          <w:rFonts w:ascii="Times New Roman" w:hAnsi="Times New Roman"/>
        </w:rPr>
      </w:pPr>
      <w:bookmarkStart w:id="215" w:name="_Toc68593576"/>
      <w:bookmarkStart w:id="216" w:name="_Toc482120740"/>
      <w:r>
        <w:rPr>
          <w:rFonts w:ascii="Times New Roman" w:hAnsi="Times New Roman"/>
        </w:rPr>
        <w:t>12.2  总体要求</w:t>
      </w:r>
      <w:bookmarkEnd w:id="215"/>
      <w:bookmarkEnd w:id="216"/>
    </w:p>
    <w:p>
      <w:pPr>
        <w:pStyle w:val="4"/>
        <w:keepNext w:val="0"/>
        <w:numPr>
          <w:ilvl w:val="0"/>
          <w:numId w:val="0"/>
        </w:numPr>
        <w:ind w:firstLine="560" w:firstLineChars="200"/>
        <w:rPr>
          <w:rFonts w:ascii="Times New Roman" w:hAnsi="Times New Roman"/>
        </w:rPr>
      </w:pPr>
      <w:r>
        <w:rPr>
          <w:rFonts w:ascii="Times New Roman" w:hAnsi="Times New Roman"/>
        </w:rPr>
        <w:t>12.2.1乙方1必须促使其保险公司或代理人向甲方提供保险证明，以证实其已获得保险单据及批单。</w:t>
      </w:r>
    </w:p>
    <w:p>
      <w:pPr>
        <w:pStyle w:val="4"/>
        <w:keepNext w:val="0"/>
        <w:numPr>
          <w:ilvl w:val="0"/>
          <w:numId w:val="0"/>
        </w:numPr>
        <w:ind w:firstLine="560" w:firstLineChars="200"/>
        <w:rPr>
          <w:rFonts w:ascii="Times New Roman" w:hAnsi="Times New Roman"/>
        </w:rPr>
      </w:pPr>
      <w:r>
        <w:rPr>
          <w:rFonts w:ascii="Times New Roman" w:hAnsi="Times New Roman"/>
        </w:rPr>
        <w:t>12.2.2乙方1必须使所有保险单均注明保险商在取消保险或对之进行重大改变之前至少三十（30）日书面通知甲方。</w:t>
      </w:r>
    </w:p>
    <w:p>
      <w:pPr>
        <w:pStyle w:val="4"/>
        <w:keepNext w:val="0"/>
        <w:numPr>
          <w:ilvl w:val="0"/>
          <w:numId w:val="0"/>
        </w:numPr>
        <w:ind w:firstLine="560" w:firstLineChars="200"/>
        <w:rPr>
          <w:rFonts w:ascii="Times New Roman" w:hAnsi="Times New Roman"/>
        </w:rPr>
      </w:pPr>
      <w:r>
        <w:rPr>
          <w:rFonts w:ascii="Times New Roman" w:hAnsi="Times New Roman"/>
        </w:rPr>
        <w:t>12.2.3未经甲方书面同意，乙方1不得变更该等保险单据。</w:t>
      </w:r>
    </w:p>
    <w:p>
      <w:pPr>
        <w:pStyle w:val="4"/>
        <w:keepNext w:val="0"/>
        <w:numPr>
          <w:ilvl w:val="0"/>
          <w:numId w:val="0"/>
        </w:numPr>
        <w:ind w:firstLine="560" w:firstLineChars="200"/>
        <w:rPr>
          <w:rFonts w:ascii="Times New Roman" w:hAnsi="Times New Roman"/>
        </w:rPr>
      </w:pPr>
      <w:r>
        <w:rPr>
          <w:rFonts w:ascii="Times New Roman" w:hAnsi="Times New Roman"/>
        </w:rPr>
        <w:t>12.2.4乙方1应使甲方成为上述提及所有适当的保险项下的联名被保险人，且乙方1应促使保险公司对甲方享有在上述保险项下的代位追偿权。</w:t>
      </w:r>
    </w:p>
    <w:p>
      <w:pPr>
        <w:pStyle w:val="3"/>
        <w:keepNext w:val="0"/>
        <w:keepLines w:val="0"/>
        <w:widowControl w:val="0"/>
        <w:numPr>
          <w:ilvl w:val="0"/>
          <w:numId w:val="0"/>
        </w:numPr>
        <w:rPr>
          <w:rFonts w:ascii="Times New Roman" w:hAnsi="Times New Roman"/>
        </w:rPr>
      </w:pPr>
      <w:bookmarkStart w:id="217" w:name="_Toc482120741"/>
      <w:bookmarkStart w:id="218" w:name="_Toc68593577"/>
      <w:r>
        <w:rPr>
          <w:rFonts w:ascii="Times New Roman" w:hAnsi="Times New Roman"/>
        </w:rPr>
        <w:t>12.3  未维持保险</w:t>
      </w:r>
      <w:bookmarkEnd w:id="217"/>
      <w:bookmarkEnd w:id="218"/>
    </w:p>
    <w:p>
      <w:pPr>
        <w:pStyle w:val="4"/>
        <w:keepNext w:val="0"/>
        <w:numPr>
          <w:ilvl w:val="0"/>
          <w:numId w:val="0"/>
        </w:numPr>
        <w:ind w:firstLine="560" w:firstLineChars="200"/>
        <w:rPr>
          <w:rFonts w:ascii="Times New Roman" w:hAnsi="Times New Roman"/>
        </w:rPr>
      </w:pPr>
      <w:r>
        <w:rPr>
          <w:rFonts w:ascii="Times New Roman" w:hAnsi="Times New Roman"/>
        </w:rPr>
        <w:t>12.3.1乙方1未能按第12.1条款和第12.2条款的要求投保，不得减轻乙方1的义务和责任。</w:t>
      </w:r>
    </w:p>
    <w:p>
      <w:pPr>
        <w:pStyle w:val="4"/>
        <w:keepNext w:val="0"/>
        <w:numPr>
          <w:ilvl w:val="0"/>
          <w:numId w:val="0"/>
        </w:numPr>
        <w:ind w:firstLine="560" w:firstLineChars="200"/>
        <w:rPr>
          <w:rFonts w:ascii="Times New Roman" w:hAnsi="Times New Roman"/>
        </w:rPr>
      </w:pPr>
      <w:r>
        <w:rPr>
          <w:rFonts w:ascii="Times New Roman" w:hAnsi="Times New Roman"/>
        </w:rPr>
        <w:t>12.3.2如果乙方1不购买或维持第12.1条款所要求的保险，甲方首先应书面要求乙方1购买上述保险，在乙方1接到上述书面通知三十（30）日内仍未购买该保险，则甲方有权根据本合同自行购买上述保险，并有权从履约保证金中兑取款项以支付保险费用。</w:t>
      </w:r>
      <w:bookmarkStart w:id="219" w:name="page69"/>
      <w:bookmarkEnd w:id="219"/>
      <w:bookmarkStart w:id="220" w:name="page70"/>
      <w:bookmarkEnd w:id="220"/>
      <w:bookmarkStart w:id="221" w:name="_Toc482120742"/>
      <w:bookmarkStart w:id="222" w:name="_Toc480978649"/>
    </w:p>
    <w:p>
      <w:pPr>
        <w:jc w:val="left"/>
        <w:rPr>
          <w:rFonts w:ascii="Times New Roman" w:hAnsi="Times New Roman"/>
          <w:b/>
          <w:bCs/>
          <w:kern w:val="44"/>
          <w:sz w:val="32"/>
          <w:szCs w:val="44"/>
        </w:rPr>
      </w:pPr>
      <w:r>
        <w:rPr>
          <w:rFonts w:ascii="Times New Roman" w:hAnsi="Times New Roman"/>
        </w:rPr>
        <w:br w:type="page"/>
      </w:r>
    </w:p>
    <w:p>
      <w:pPr>
        <w:pStyle w:val="2"/>
        <w:keepNext w:val="0"/>
        <w:ind w:right="0" w:rightChars="0"/>
        <w:rPr>
          <w:rFonts w:ascii="Times New Roman" w:hAnsi="Times New Roman"/>
          <w:lang w:eastAsia="zh-CN"/>
        </w:rPr>
      </w:pPr>
      <w:bookmarkStart w:id="223" w:name="_Toc68593578"/>
      <w:r>
        <w:rPr>
          <w:rFonts w:ascii="Times New Roman" w:hAnsi="Times New Roman"/>
          <w:lang w:eastAsia="zh-CN"/>
        </w:rPr>
        <w:t>第13条  开票和付款</w:t>
      </w:r>
      <w:bookmarkEnd w:id="221"/>
      <w:bookmarkEnd w:id="222"/>
      <w:bookmarkEnd w:id="223"/>
    </w:p>
    <w:p>
      <w:pPr>
        <w:pStyle w:val="3"/>
        <w:keepNext w:val="0"/>
        <w:keepLines w:val="0"/>
        <w:widowControl w:val="0"/>
        <w:numPr>
          <w:ilvl w:val="0"/>
          <w:numId w:val="0"/>
        </w:numPr>
        <w:rPr>
          <w:rFonts w:ascii="Times New Roman" w:hAnsi="Times New Roman"/>
        </w:rPr>
      </w:pPr>
      <w:bookmarkStart w:id="224" w:name="_Toc482120743"/>
      <w:bookmarkStart w:id="225" w:name="_Toc68593579"/>
      <w:r>
        <w:rPr>
          <w:rFonts w:ascii="Times New Roman" w:hAnsi="Times New Roman"/>
        </w:rPr>
        <w:t>13.1  付款和开票</w:t>
      </w:r>
      <w:bookmarkEnd w:id="224"/>
      <w:bookmarkEnd w:id="225"/>
    </w:p>
    <w:p>
      <w:pPr>
        <w:pStyle w:val="4"/>
        <w:keepNext w:val="0"/>
        <w:numPr>
          <w:ilvl w:val="0"/>
          <w:numId w:val="0"/>
        </w:numPr>
        <w:ind w:firstLine="560" w:firstLineChars="200"/>
        <w:rPr>
          <w:rFonts w:ascii="Times New Roman" w:hAnsi="Times New Roman"/>
        </w:rPr>
      </w:pPr>
      <w:r>
        <w:rPr>
          <w:rFonts w:ascii="Times New Roman" w:hAnsi="Times New Roman"/>
        </w:rPr>
        <w:t>13.1.1乙方1应开设收取车辆通行费的银行账户，并在高速公路项目通车收费前及时告知甲方该银行账户。</w:t>
      </w:r>
    </w:p>
    <w:p>
      <w:pPr>
        <w:pStyle w:val="4"/>
        <w:keepNext w:val="0"/>
        <w:numPr>
          <w:ilvl w:val="0"/>
          <w:numId w:val="0"/>
        </w:numPr>
        <w:ind w:firstLine="560" w:firstLineChars="200"/>
        <w:rPr>
          <w:rFonts w:ascii="Times New Roman" w:hAnsi="Times New Roman"/>
        </w:rPr>
      </w:pPr>
      <w:r>
        <w:rPr>
          <w:rFonts w:ascii="Times New Roman" w:hAnsi="Times New Roman"/>
        </w:rPr>
        <w:t>13.1.2乙方1如需改变账户，应确保提前至少七（7）个工作日通知甲方。</w:t>
      </w:r>
    </w:p>
    <w:p>
      <w:pPr>
        <w:pStyle w:val="4"/>
        <w:keepNext w:val="0"/>
        <w:numPr>
          <w:ilvl w:val="0"/>
          <w:numId w:val="0"/>
        </w:numPr>
        <w:ind w:firstLine="560" w:firstLineChars="200"/>
        <w:rPr>
          <w:rFonts w:ascii="Times New Roman" w:hAnsi="Times New Roman"/>
        </w:rPr>
      </w:pPr>
      <w:r>
        <w:rPr>
          <w:rFonts w:ascii="Times New Roman" w:hAnsi="Times New Roman"/>
        </w:rPr>
        <w:t>13.1.3任何有争议的款项，经双方达成一致意见或按照本合同第25条的规定解决。</w:t>
      </w:r>
    </w:p>
    <w:p>
      <w:pPr>
        <w:pStyle w:val="3"/>
        <w:keepNext w:val="0"/>
        <w:keepLines w:val="0"/>
        <w:widowControl w:val="0"/>
        <w:numPr>
          <w:ilvl w:val="0"/>
          <w:numId w:val="0"/>
        </w:numPr>
        <w:rPr>
          <w:rFonts w:ascii="Times New Roman" w:hAnsi="Times New Roman"/>
        </w:rPr>
      </w:pPr>
      <w:bookmarkStart w:id="226" w:name="_Toc482120744"/>
      <w:bookmarkStart w:id="227" w:name="_Toc68593580"/>
      <w:r>
        <w:rPr>
          <w:rFonts w:ascii="Times New Roman" w:hAnsi="Times New Roman"/>
        </w:rPr>
        <w:t>13.2  货币</w:t>
      </w:r>
      <w:bookmarkEnd w:id="226"/>
      <w:bookmarkEnd w:id="227"/>
    </w:p>
    <w:p>
      <w:pPr>
        <w:pStyle w:val="4"/>
        <w:keepNext w:val="0"/>
        <w:numPr>
          <w:ilvl w:val="0"/>
          <w:numId w:val="0"/>
        </w:numPr>
        <w:ind w:firstLine="560" w:firstLineChars="200"/>
        <w:rPr>
          <w:rFonts w:ascii="Times New Roman" w:hAnsi="Times New Roman"/>
        </w:rPr>
      </w:pPr>
      <w:r>
        <w:rPr>
          <w:rFonts w:ascii="Times New Roman" w:hAnsi="Times New Roman"/>
        </w:rPr>
        <w:t>本合同下的任何应付款项，一律以人民币支付。</w:t>
      </w:r>
    </w:p>
    <w:p>
      <w:pPr>
        <w:pStyle w:val="2"/>
        <w:keepNext w:val="0"/>
        <w:ind w:right="0" w:rightChars="0"/>
        <w:rPr>
          <w:rFonts w:ascii="Times New Roman" w:hAnsi="Times New Roman"/>
          <w:b w:val="0"/>
          <w:lang w:eastAsia="zh-CN"/>
        </w:rPr>
      </w:pPr>
      <w:r>
        <w:rPr>
          <w:rFonts w:ascii="Times New Roman" w:hAnsi="Times New Roman"/>
          <w:lang w:eastAsia="zh-CN"/>
        </w:rPr>
        <w:br w:type="page"/>
      </w:r>
      <w:bookmarkStart w:id="228" w:name="page71"/>
      <w:bookmarkEnd w:id="228"/>
      <w:bookmarkStart w:id="229" w:name="_Toc480978650"/>
      <w:bookmarkStart w:id="230" w:name="_Toc482120746"/>
      <w:bookmarkStart w:id="231" w:name="_Toc68593581"/>
      <w:r>
        <w:rPr>
          <w:rFonts w:ascii="Times New Roman" w:hAnsi="Times New Roman"/>
          <w:lang w:eastAsia="zh-CN"/>
        </w:rPr>
        <w:t>第14条  特许经营期届满时项目设施的移交</w:t>
      </w:r>
      <w:bookmarkEnd w:id="229"/>
      <w:bookmarkEnd w:id="230"/>
      <w:bookmarkEnd w:id="231"/>
    </w:p>
    <w:p>
      <w:pPr>
        <w:pStyle w:val="3"/>
        <w:keepNext w:val="0"/>
        <w:keepLines w:val="0"/>
        <w:widowControl w:val="0"/>
        <w:numPr>
          <w:ilvl w:val="0"/>
          <w:numId w:val="0"/>
        </w:numPr>
        <w:rPr>
          <w:rFonts w:ascii="Times New Roman" w:hAnsi="Times New Roman"/>
        </w:rPr>
      </w:pPr>
      <w:bookmarkStart w:id="232" w:name="_Toc482120747"/>
      <w:bookmarkStart w:id="233" w:name="_Toc68593582"/>
      <w:r>
        <w:rPr>
          <w:rFonts w:ascii="Times New Roman" w:hAnsi="Times New Roman"/>
        </w:rPr>
        <w:t>14.1  项目移交</w:t>
      </w:r>
      <w:bookmarkEnd w:id="232"/>
      <w:bookmarkEnd w:id="233"/>
    </w:p>
    <w:p>
      <w:pPr>
        <w:pStyle w:val="4"/>
        <w:keepNext w:val="0"/>
        <w:numPr>
          <w:ilvl w:val="0"/>
          <w:numId w:val="0"/>
        </w:numPr>
        <w:ind w:firstLine="560" w:firstLineChars="200"/>
        <w:rPr>
          <w:rFonts w:ascii="Times New Roman" w:hAnsi="Times New Roman"/>
        </w:rPr>
      </w:pPr>
      <w:r>
        <w:rPr>
          <w:rFonts w:ascii="Times New Roman" w:hAnsi="Times New Roman"/>
        </w:rPr>
        <w:t>特许经营期限届满后，乙方1在本合同项下的特许经营权即行终止，乙方1应将已取得的土地使用权、项目及其附属设施、相关技术法律文件等，连同资产清单无偿、完好移交给甲方或政府指定机构。</w:t>
      </w:r>
    </w:p>
    <w:p>
      <w:pPr>
        <w:pStyle w:val="3"/>
        <w:keepNext w:val="0"/>
        <w:keepLines w:val="0"/>
        <w:widowControl w:val="0"/>
        <w:numPr>
          <w:ilvl w:val="0"/>
          <w:numId w:val="0"/>
        </w:numPr>
        <w:rPr>
          <w:rFonts w:ascii="Times New Roman" w:hAnsi="Times New Roman"/>
        </w:rPr>
      </w:pPr>
      <w:bookmarkStart w:id="234" w:name="_Toc482120748"/>
      <w:bookmarkStart w:id="235" w:name="_Toc68593583"/>
      <w:r>
        <w:rPr>
          <w:rFonts w:ascii="Times New Roman" w:hAnsi="Times New Roman"/>
        </w:rPr>
        <w:t>14.2  移交内容</w:t>
      </w:r>
      <w:bookmarkEnd w:id="234"/>
      <w:bookmarkEnd w:id="235"/>
    </w:p>
    <w:p>
      <w:pPr>
        <w:pStyle w:val="4"/>
        <w:keepNext w:val="0"/>
        <w:numPr>
          <w:ilvl w:val="0"/>
          <w:numId w:val="0"/>
        </w:numPr>
        <w:ind w:firstLine="560" w:firstLineChars="200"/>
        <w:rPr>
          <w:rFonts w:ascii="Times New Roman" w:hAnsi="Times New Roman"/>
        </w:rPr>
      </w:pPr>
      <w:r>
        <w:rPr>
          <w:rFonts w:ascii="Times New Roman" w:hAnsi="Times New Roman"/>
        </w:rPr>
        <w:t>14.2.1在移交日，乙方1应向甲方或政府指定机构无偿完整完好且无任何法律瑕疵的移交：</w:t>
      </w:r>
    </w:p>
    <w:p>
      <w:pPr>
        <w:pStyle w:val="4"/>
        <w:keepNext w:val="0"/>
        <w:numPr>
          <w:ilvl w:val="0"/>
          <w:numId w:val="0"/>
        </w:numPr>
        <w:ind w:firstLine="560" w:firstLineChars="200"/>
        <w:rPr>
          <w:rFonts w:ascii="Times New Roman" w:hAnsi="Times New Roman"/>
        </w:rPr>
      </w:pPr>
      <w:r>
        <w:rPr>
          <w:rFonts w:ascii="Times New Roman" w:hAnsi="Times New Roman"/>
        </w:rPr>
        <w:t>（a）乙方1已取得的土地使用权及使用项目设施所占有土地的权利；</w:t>
      </w:r>
    </w:p>
    <w:p>
      <w:pPr>
        <w:pStyle w:val="4"/>
        <w:keepNext w:val="0"/>
        <w:numPr>
          <w:ilvl w:val="0"/>
          <w:numId w:val="0"/>
        </w:numPr>
        <w:ind w:firstLine="560" w:firstLineChars="200"/>
        <w:rPr>
          <w:rFonts w:ascii="Times New Roman" w:hAnsi="Times New Roman"/>
        </w:rPr>
      </w:pPr>
      <w:r>
        <w:rPr>
          <w:rFonts w:ascii="Times New Roman" w:hAnsi="Times New Roman"/>
        </w:rPr>
        <w:t>（b）乙方1对项目设施的所有权益，包括：</w:t>
      </w:r>
    </w:p>
    <w:p>
      <w:pPr>
        <w:pStyle w:val="4"/>
        <w:keepNext w:val="0"/>
        <w:numPr>
          <w:ilvl w:val="0"/>
          <w:numId w:val="0"/>
        </w:numPr>
        <w:ind w:firstLine="560" w:firstLineChars="200"/>
        <w:rPr>
          <w:rFonts w:ascii="Times New Roman" w:hAnsi="Times New Roman"/>
        </w:rPr>
      </w:pPr>
      <w:r>
        <w:rPr>
          <w:rFonts w:ascii="Times New Roman" w:hAnsi="Times New Roman"/>
        </w:rPr>
        <w:t>i.项目设施（含广告设施和服务基础设施）；</w:t>
      </w:r>
    </w:p>
    <w:p>
      <w:pPr>
        <w:pStyle w:val="4"/>
        <w:keepNext w:val="0"/>
        <w:numPr>
          <w:ilvl w:val="0"/>
          <w:numId w:val="0"/>
        </w:numPr>
        <w:ind w:firstLine="560" w:firstLineChars="200"/>
        <w:rPr>
          <w:rFonts w:ascii="Times New Roman" w:hAnsi="Times New Roman"/>
        </w:rPr>
      </w:pPr>
      <w:r>
        <w:rPr>
          <w:rFonts w:ascii="Times New Roman" w:hAnsi="Times New Roman"/>
        </w:rPr>
        <w:t>ii.与项目设施相关的所有设备及备品备件等；</w:t>
      </w:r>
    </w:p>
    <w:p>
      <w:pPr>
        <w:pStyle w:val="4"/>
        <w:keepNext w:val="0"/>
        <w:numPr>
          <w:ilvl w:val="0"/>
          <w:numId w:val="0"/>
        </w:numPr>
        <w:ind w:firstLine="560" w:firstLineChars="200"/>
        <w:rPr>
          <w:rFonts w:ascii="Times New Roman" w:hAnsi="Times New Roman"/>
        </w:rPr>
      </w:pPr>
      <w:r>
        <w:rPr>
          <w:rFonts w:ascii="Times New Roman" w:hAnsi="Times New Roman"/>
        </w:rPr>
        <w:t>iii.与项目设施相关的所有尚未到期的保证、保险和其它协议的利益（只要这些是可以转让的）；</w:t>
      </w:r>
    </w:p>
    <w:p>
      <w:pPr>
        <w:pStyle w:val="4"/>
        <w:keepNext w:val="0"/>
        <w:numPr>
          <w:ilvl w:val="0"/>
          <w:numId w:val="0"/>
        </w:numPr>
        <w:ind w:firstLine="560" w:firstLineChars="200"/>
        <w:rPr>
          <w:rFonts w:ascii="Times New Roman" w:hAnsi="Times New Roman"/>
        </w:rPr>
      </w:pPr>
      <w:r>
        <w:rPr>
          <w:rFonts w:ascii="Times New Roman" w:hAnsi="Times New Roman"/>
        </w:rPr>
        <w:t>（c）管理和养护项目设施所必需的技术文件和技术诀窍，以及所有的养护手册、养护记录、设计图纸、工程档案、质量保修书等有关资料，以使其能够直接或经由政府指定机构继续管理和养护项目设施；</w:t>
      </w:r>
    </w:p>
    <w:p>
      <w:pPr>
        <w:pStyle w:val="4"/>
        <w:keepNext w:val="0"/>
        <w:numPr>
          <w:ilvl w:val="0"/>
          <w:numId w:val="0"/>
        </w:numPr>
        <w:ind w:firstLine="560" w:firstLineChars="200"/>
        <w:rPr>
          <w:rFonts w:ascii="Times New Roman" w:hAnsi="Times New Roman"/>
        </w:rPr>
      </w:pPr>
      <w:r>
        <w:rPr>
          <w:rFonts w:ascii="Times New Roman" w:hAnsi="Times New Roman"/>
        </w:rPr>
        <w:t>（d）为移交项目设施的所有权所需的文件；</w:t>
      </w:r>
    </w:p>
    <w:p>
      <w:pPr>
        <w:pStyle w:val="4"/>
        <w:keepNext w:val="0"/>
        <w:numPr>
          <w:ilvl w:val="0"/>
          <w:numId w:val="0"/>
        </w:numPr>
        <w:ind w:firstLine="560" w:firstLineChars="200"/>
        <w:rPr>
          <w:rFonts w:ascii="Times New Roman" w:hAnsi="Times New Roman"/>
        </w:rPr>
      </w:pPr>
      <w:r>
        <w:rPr>
          <w:rFonts w:ascii="Times New Roman" w:hAnsi="Times New Roman"/>
        </w:rPr>
        <w:t>（e）所有项目设施资产清册；</w:t>
      </w:r>
    </w:p>
    <w:p>
      <w:pPr>
        <w:pStyle w:val="4"/>
        <w:keepNext w:val="0"/>
        <w:numPr>
          <w:ilvl w:val="0"/>
          <w:numId w:val="0"/>
        </w:numPr>
        <w:ind w:firstLine="560" w:firstLineChars="200"/>
        <w:rPr>
          <w:rFonts w:ascii="Times New Roman" w:hAnsi="Times New Roman"/>
        </w:rPr>
      </w:pPr>
      <w:r>
        <w:rPr>
          <w:rFonts w:ascii="Times New Roman" w:hAnsi="Times New Roman"/>
        </w:rPr>
        <w:t>（f）甲方合理要求的其他物品与资料；</w:t>
      </w:r>
      <w:bookmarkStart w:id="236" w:name="page72"/>
      <w:bookmarkEnd w:id="236"/>
    </w:p>
    <w:p>
      <w:pPr>
        <w:pStyle w:val="4"/>
        <w:keepNext w:val="0"/>
        <w:numPr>
          <w:ilvl w:val="0"/>
          <w:numId w:val="0"/>
        </w:numPr>
        <w:ind w:firstLine="560" w:firstLineChars="200"/>
        <w:rPr>
          <w:rFonts w:ascii="Times New Roman" w:hAnsi="Times New Roman"/>
        </w:rPr>
      </w:pPr>
      <w:r>
        <w:rPr>
          <w:rFonts w:ascii="Times New Roman" w:hAnsi="Times New Roman"/>
        </w:rPr>
        <w:t>（g）由具有相关资质的检测单位出具的合格的质量合格检测报告。</w:t>
      </w:r>
    </w:p>
    <w:p>
      <w:pPr>
        <w:pStyle w:val="4"/>
        <w:keepNext w:val="0"/>
        <w:numPr>
          <w:ilvl w:val="0"/>
          <w:numId w:val="0"/>
        </w:numPr>
        <w:ind w:firstLine="560" w:firstLineChars="200"/>
        <w:rPr>
          <w:rFonts w:ascii="Times New Roman" w:hAnsi="Times New Roman"/>
        </w:rPr>
      </w:pPr>
      <w:r>
        <w:rPr>
          <w:rFonts w:ascii="Times New Roman" w:hAnsi="Times New Roman"/>
        </w:rPr>
        <w:t>14.2.2上述移交不应附带任何负债或违约、侵权责任，不应设有任何抵押、质押等担保权益或法律瑕疵，亦不得存在任何种类和性质的既有或潜在的索赔权。所有与移交的设施、权益、文件等有关的负债、违约、侵权责任、抵押、质押等担保权益、产权约束或索赔权，应由乙方1全部清偿、赔偿或解除完毕。如发生该等情形的，由此产生的全部法律风险和法律责任由乙方1和乙方2承担，且该等法律风险和法律责任的承担不因本项目工程已移交予甲方而免除、减轻或解除。由此给甲方造成损失的，乙方1和乙方2应向甲方连带赔偿全部损失。</w:t>
      </w:r>
    </w:p>
    <w:p>
      <w:pPr>
        <w:pStyle w:val="3"/>
        <w:keepNext w:val="0"/>
        <w:keepLines w:val="0"/>
        <w:widowControl w:val="0"/>
        <w:numPr>
          <w:ilvl w:val="0"/>
          <w:numId w:val="0"/>
        </w:numPr>
        <w:rPr>
          <w:rFonts w:ascii="Times New Roman" w:hAnsi="Times New Roman"/>
        </w:rPr>
      </w:pPr>
      <w:bookmarkStart w:id="237" w:name="_Toc68593584"/>
      <w:bookmarkStart w:id="238" w:name="_Toc482120749"/>
      <w:r>
        <w:rPr>
          <w:rFonts w:ascii="Times New Roman" w:hAnsi="Times New Roman"/>
        </w:rPr>
        <w:t>14.3  移交过渡期及移交委员会</w:t>
      </w:r>
      <w:bookmarkEnd w:id="237"/>
      <w:bookmarkEnd w:id="238"/>
    </w:p>
    <w:p>
      <w:pPr>
        <w:pStyle w:val="4"/>
        <w:keepNext w:val="0"/>
        <w:numPr>
          <w:ilvl w:val="0"/>
          <w:numId w:val="0"/>
        </w:numPr>
        <w:ind w:firstLine="560" w:firstLineChars="200"/>
        <w:rPr>
          <w:rFonts w:ascii="Times New Roman" w:hAnsi="Times New Roman"/>
        </w:rPr>
      </w:pPr>
      <w:r>
        <w:rPr>
          <w:rFonts w:ascii="Times New Roman" w:hAnsi="Times New Roman"/>
        </w:rPr>
        <w:t>14.3.1项目移交设置过渡期，过渡期为移交日前一（1）年六（6）个月至移交日。</w:t>
      </w:r>
    </w:p>
    <w:p>
      <w:pPr>
        <w:pStyle w:val="4"/>
        <w:keepNext w:val="0"/>
        <w:numPr>
          <w:ilvl w:val="0"/>
          <w:numId w:val="0"/>
        </w:numPr>
        <w:ind w:firstLine="560" w:firstLineChars="200"/>
        <w:rPr>
          <w:rFonts w:ascii="Times New Roman" w:hAnsi="Times New Roman"/>
        </w:rPr>
      </w:pPr>
      <w:r>
        <w:rPr>
          <w:rFonts w:ascii="Times New Roman" w:hAnsi="Times New Roman"/>
        </w:rPr>
        <w:t>14.3.2过渡期开始之日算起一（1）个月内，甲方和乙方1及双方确认有必要参加的关联方联合组建项目移交委员会，移交委员会由甲方三（3）名授权代表和乙方1三（3）名授权代表组成。</w:t>
      </w:r>
    </w:p>
    <w:p>
      <w:pPr>
        <w:pStyle w:val="4"/>
        <w:keepNext w:val="0"/>
        <w:numPr>
          <w:ilvl w:val="0"/>
          <w:numId w:val="0"/>
        </w:numPr>
        <w:ind w:firstLine="560" w:firstLineChars="200"/>
        <w:rPr>
          <w:rFonts w:ascii="Times New Roman" w:hAnsi="Times New Roman"/>
        </w:rPr>
      </w:pPr>
      <w:r>
        <w:rPr>
          <w:rFonts w:ascii="Times New Roman" w:hAnsi="Times New Roman"/>
        </w:rPr>
        <w:t>14.3.3过渡期开始之日算起二（2）个月内，移交委员会举行会谈并商定项目设施移交的详尽程序、缺陷修复计划以及按照第14.2条款规定的移交范围的详细清单，研究制定项目具体移交方案。</w:t>
      </w:r>
    </w:p>
    <w:p>
      <w:pPr>
        <w:pStyle w:val="4"/>
        <w:keepNext w:val="0"/>
        <w:numPr>
          <w:ilvl w:val="0"/>
          <w:numId w:val="0"/>
        </w:numPr>
        <w:ind w:firstLine="560" w:firstLineChars="200"/>
        <w:rPr>
          <w:rFonts w:ascii="Times New Roman" w:hAnsi="Times New Roman"/>
        </w:rPr>
      </w:pPr>
      <w:r>
        <w:rPr>
          <w:rFonts w:ascii="Times New Roman" w:hAnsi="Times New Roman"/>
        </w:rPr>
        <w:t>14.3.4移交方案应当包括移交的资产、资料明细，双方委派的移交人员及移交程序。</w:t>
      </w:r>
    </w:p>
    <w:p>
      <w:pPr>
        <w:pStyle w:val="3"/>
        <w:keepNext w:val="0"/>
        <w:keepLines w:val="0"/>
        <w:widowControl w:val="0"/>
        <w:numPr>
          <w:ilvl w:val="0"/>
          <w:numId w:val="0"/>
        </w:numPr>
        <w:rPr>
          <w:rFonts w:ascii="Times New Roman" w:hAnsi="Times New Roman"/>
        </w:rPr>
      </w:pPr>
      <w:bookmarkStart w:id="239" w:name="_Toc482120750"/>
      <w:bookmarkStart w:id="240" w:name="_Toc68593585"/>
      <w:r>
        <w:rPr>
          <w:rFonts w:ascii="Times New Roman" w:hAnsi="Times New Roman"/>
        </w:rPr>
        <w:t>14.4  移交准备</w:t>
      </w:r>
      <w:bookmarkEnd w:id="239"/>
      <w:bookmarkEnd w:id="240"/>
    </w:p>
    <w:p>
      <w:pPr>
        <w:pStyle w:val="4"/>
        <w:keepNext w:val="0"/>
        <w:numPr>
          <w:ilvl w:val="0"/>
          <w:numId w:val="0"/>
        </w:numPr>
        <w:ind w:firstLine="560" w:firstLineChars="200"/>
        <w:rPr>
          <w:rFonts w:ascii="Times New Roman" w:hAnsi="Times New Roman"/>
        </w:rPr>
      </w:pPr>
      <w:r>
        <w:rPr>
          <w:rFonts w:ascii="Times New Roman" w:hAnsi="Times New Roman"/>
        </w:rPr>
        <w:t>过渡期开始之日算起三（3）个月内，移交委员会按照商定的移交方案，监督甲方明确其指定的接受机构，监督乙方1完成移交清单的编制确认工作。</w:t>
      </w:r>
    </w:p>
    <w:p>
      <w:pPr>
        <w:pStyle w:val="3"/>
        <w:keepNext w:val="0"/>
        <w:keepLines w:val="0"/>
        <w:widowControl w:val="0"/>
        <w:numPr>
          <w:ilvl w:val="0"/>
          <w:numId w:val="0"/>
        </w:numPr>
        <w:rPr>
          <w:rFonts w:ascii="Times New Roman" w:hAnsi="Times New Roman"/>
        </w:rPr>
      </w:pPr>
      <w:bookmarkStart w:id="241" w:name="page73"/>
      <w:bookmarkEnd w:id="241"/>
      <w:bookmarkStart w:id="242" w:name="_Toc482120751"/>
      <w:bookmarkStart w:id="243" w:name="_Toc68593586"/>
      <w:r>
        <w:rPr>
          <w:rFonts w:ascii="Times New Roman" w:hAnsi="Times New Roman"/>
        </w:rPr>
        <w:t>14.5  鉴定和验收</w:t>
      </w:r>
      <w:bookmarkEnd w:id="242"/>
      <w:bookmarkEnd w:id="243"/>
    </w:p>
    <w:p>
      <w:pPr>
        <w:pStyle w:val="4"/>
        <w:keepNext w:val="0"/>
        <w:numPr>
          <w:ilvl w:val="0"/>
          <w:numId w:val="0"/>
        </w:numPr>
        <w:ind w:firstLine="560" w:firstLineChars="200"/>
        <w:rPr>
          <w:rFonts w:ascii="Times New Roman" w:hAnsi="Times New Roman"/>
        </w:rPr>
      </w:pPr>
      <w:r>
        <w:rPr>
          <w:rFonts w:ascii="Times New Roman" w:hAnsi="Times New Roman"/>
        </w:rPr>
        <w:t>14.5.1移交日前六（6）个月，原审批机构或甲方对项目对应的收费公路进行鉴定和验收。</w:t>
      </w:r>
    </w:p>
    <w:p>
      <w:pPr>
        <w:pStyle w:val="4"/>
        <w:keepNext w:val="0"/>
        <w:numPr>
          <w:ilvl w:val="0"/>
          <w:numId w:val="0"/>
        </w:numPr>
        <w:ind w:firstLine="560" w:firstLineChars="200"/>
        <w:rPr>
          <w:rFonts w:ascii="Times New Roman" w:hAnsi="Times New Roman"/>
        </w:rPr>
      </w:pPr>
      <w:r>
        <w:rPr>
          <w:rFonts w:ascii="Times New Roman" w:hAnsi="Times New Roman"/>
        </w:rPr>
        <w:t>14.5.2乙方1应保证本项目处于良好的管理和维护状况，按照届时适用的公路工程技术评定的相关规定，评定结果达到良好及以上标准。本合同签署时所适用的公路工程技术评定标准如下：《公路技术状况评定标准》（JTGH20-2007）、《公路桥梁技术状况评定标准》（JTG/TH21-2011）、《公路工程技术标准》（JTGB01－2014）等建设运营标准和陕西省交通管理部门的相关规定，公路总体处于良好状态，桥梁隧道总体技术状况评定等级达到2类及以上等级；项目设施处于正常使用状态、符合适用法律和本合同所规定的安全、质量和环境等有关标准（简称“移交标准”）。</w:t>
      </w:r>
    </w:p>
    <w:p>
      <w:pPr>
        <w:pStyle w:val="4"/>
        <w:keepNext w:val="0"/>
        <w:numPr>
          <w:ilvl w:val="0"/>
          <w:numId w:val="0"/>
        </w:numPr>
        <w:ind w:firstLine="560" w:firstLineChars="200"/>
        <w:rPr>
          <w:rFonts w:ascii="Times New Roman" w:hAnsi="Times New Roman"/>
        </w:rPr>
      </w:pPr>
      <w:r>
        <w:rPr>
          <w:rFonts w:ascii="Times New Roman" w:hAnsi="Times New Roman"/>
        </w:rPr>
        <w:t>14.5.3鉴定检测单位由甲方委托，鉴定检测单位费用由乙方1承担。若任何一方对检测结果有异议，可提出复检，若复检结果满足移交标准，则由提出方承担复检费用，若复检结果为不合格，则由乙方1全额承担复检费用。</w:t>
      </w:r>
    </w:p>
    <w:p>
      <w:pPr>
        <w:pStyle w:val="4"/>
        <w:keepNext w:val="0"/>
        <w:numPr>
          <w:ilvl w:val="0"/>
          <w:numId w:val="0"/>
        </w:numPr>
        <w:ind w:firstLine="560" w:firstLineChars="200"/>
        <w:rPr>
          <w:rFonts w:ascii="Times New Roman" w:hAnsi="Times New Roman"/>
        </w:rPr>
      </w:pPr>
      <w:r>
        <w:rPr>
          <w:rFonts w:ascii="Times New Roman" w:hAnsi="Times New Roman"/>
        </w:rPr>
        <w:t>14.5.4经鉴定和验收达到移交标准的，乙方1可按照国家有关规定向甲方办理公路移交手续；未达到移交标准的，乙方1应在移交日六（6）个月前完成修复并达到移交标准，未按期达到移交标准的，甲方可委托第三方进行缺陷修复，由此产生的费用由乙方1承担，在移交保函中兑取。</w:t>
      </w:r>
    </w:p>
    <w:p>
      <w:pPr>
        <w:pStyle w:val="3"/>
        <w:keepNext w:val="0"/>
        <w:keepLines w:val="0"/>
        <w:widowControl w:val="0"/>
        <w:numPr>
          <w:ilvl w:val="0"/>
          <w:numId w:val="0"/>
        </w:numPr>
        <w:rPr>
          <w:rFonts w:ascii="Times New Roman" w:hAnsi="Times New Roman"/>
        </w:rPr>
      </w:pPr>
      <w:bookmarkStart w:id="244" w:name="_Toc482120752"/>
      <w:bookmarkStart w:id="245" w:name="_Toc68593587"/>
      <w:r>
        <w:rPr>
          <w:rFonts w:ascii="Times New Roman" w:hAnsi="Times New Roman"/>
        </w:rPr>
        <w:t>14.6  缺陷责任期</w:t>
      </w:r>
      <w:bookmarkEnd w:id="244"/>
      <w:bookmarkEnd w:id="245"/>
    </w:p>
    <w:p>
      <w:pPr>
        <w:pStyle w:val="4"/>
        <w:keepNext w:val="0"/>
        <w:numPr>
          <w:ilvl w:val="0"/>
          <w:numId w:val="0"/>
        </w:numPr>
        <w:ind w:firstLine="560" w:firstLineChars="200"/>
        <w:rPr>
          <w:rFonts w:ascii="Times New Roman" w:hAnsi="Times New Roman"/>
        </w:rPr>
      </w:pPr>
      <w:r>
        <w:rPr>
          <w:rFonts w:ascii="Times New Roman" w:hAnsi="Times New Roman"/>
        </w:rPr>
        <w:t>移交后项目设施缺陷责任期为移交日后三百六十五（365）日。缺陷责任期内，乙方1须按国家规定履行保修义务，确保本项目正常</w:t>
      </w:r>
      <w:bookmarkStart w:id="246" w:name="page74"/>
      <w:bookmarkEnd w:id="246"/>
      <w:r>
        <w:rPr>
          <w:rFonts w:ascii="Times New Roman" w:hAnsi="Times New Roman"/>
        </w:rPr>
        <w:t>通行。</w:t>
      </w:r>
    </w:p>
    <w:p>
      <w:pPr>
        <w:pStyle w:val="3"/>
        <w:keepNext w:val="0"/>
        <w:keepLines w:val="0"/>
        <w:widowControl w:val="0"/>
        <w:numPr>
          <w:ilvl w:val="0"/>
          <w:numId w:val="0"/>
        </w:numPr>
        <w:rPr>
          <w:rFonts w:ascii="Times New Roman" w:hAnsi="Times New Roman"/>
        </w:rPr>
      </w:pPr>
      <w:bookmarkStart w:id="247" w:name="_Toc68593588"/>
      <w:bookmarkStart w:id="248" w:name="_Toc482120753"/>
      <w:r>
        <w:rPr>
          <w:rFonts w:ascii="Times New Roman" w:hAnsi="Times New Roman"/>
        </w:rPr>
        <w:t>14.7  保证、保险和技术的转让</w:t>
      </w:r>
      <w:bookmarkEnd w:id="247"/>
      <w:bookmarkEnd w:id="248"/>
    </w:p>
    <w:p>
      <w:pPr>
        <w:pStyle w:val="4"/>
        <w:keepNext w:val="0"/>
        <w:numPr>
          <w:ilvl w:val="0"/>
          <w:numId w:val="0"/>
        </w:numPr>
        <w:ind w:firstLine="560" w:firstLineChars="200"/>
        <w:rPr>
          <w:rFonts w:ascii="Times New Roman" w:hAnsi="Times New Roman"/>
        </w:rPr>
      </w:pPr>
      <w:r>
        <w:rPr>
          <w:rFonts w:ascii="Times New Roman" w:hAnsi="Times New Roman"/>
        </w:rPr>
        <w:t>14.7.1移交时，乙方1应将所有项目设施的承包商、制造商和供应商提供的尚未期满的担保及保证，全部无偿转让给甲方或政府指定机构。乙方1和乙方2应协助甲方或政府指定机构办理相应变更手续，由相应承包商、制造商和供应商在原担保的剩余期限内继续对甲方或政府指定机构承担担保责任。前述工作应在移交日前完成。</w:t>
      </w:r>
    </w:p>
    <w:p>
      <w:pPr>
        <w:pStyle w:val="4"/>
        <w:keepNext w:val="0"/>
        <w:numPr>
          <w:ilvl w:val="0"/>
          <w:numId w:val="0"/>
        </w:numPr>
        <w:ind w:firstLine="560" w:firstLineChars="200"/>
        <w:rPr>
          <w:rFonts w:ascii="Times New Roman" w:hAnsi="Times New Roman"/>
        </w:rPr>
      </w:pPr>
      <w:r>
        <w:rPr>
          <w:rFonts w:ascii="Times New Roman" w:hAnsi="Times New Roman"/>
        </w:rPr>
        <w:t>14.7.2在移交时，乙方1应将所有保险单、暂保单和保险单批单转让给甲方或政府指定机构。甲方或政府指定机构应支付或退还上述移交之后保险期间的保险费。</w:t>
      </w:r>
      <w:r>
        <w:rPr>
          <w:rFonts w:ascii="Times New Roman" w:hAnsi="Times New Roman"/>
          <w:szCs w:val="28"/>
        </w:rPr>
        <w:t>如保险期在移交日尚未期满，则乙方1和乙方2应协助甲方或政府指定机构办理相应变更手续，由甲方或政府指定机构在原保险期的剩余期限内作为受益人，由相关保险公司继续对甲方或政府指定机构承担保险责任。前述工作应在移交日前完成。</w:t>
      </w:r>
    </w:p>
    <w:p>
      <w:pPr>
        <w:pStyle w:val="4"/>
        <w:keepNext w:val="0"/>
        <w:numPr>
          <w:ilvl w:val="0"/>
          <w:numId w:val="0"/>
        </w:numPr>
        <w:ind w:firstLine="560" w:firstLineChars="200"/>
        <w:rPr>
          <w:rFonts w:ascii="Times New Roman" w:hAnsi="Times New Roman"/>
        </w:rPr>
      </w:pPr>
      <w:r>
        <w:rPr>
          <w:rFonts w:ascii="Times New Roman" w:hAnsi="Times New Roman"/>
        </w:rPr>
        <w:t>14.7.3乙方1应在移交日将届时使用的管理和维护项目设施所需要的所有技术和技术诀窍（包括以任何许可方式取得的），全部无偿移交给甲方或政府指定机构，并确保甲方或政府指定机构不会因使用这些技术或技术诀窍而遭受侵权索赔。如果甲方或政府指定机构因使用这些技术或者技术诀窍而遭受侵权索赔，由乙方1和乙方2承担赔偿责任。如果上述技术和技术诀窍的使用权到移交日已期满，乙方1有义务协助甲方以不高于乙方1取得此等技术和技术诀窍时所付出的代价取得这些技术和技术诀窍的使用权。</w:t>
      </w:r>
    </w:p>
    <w:p>
      <w:pPr>
        <w:pStyle w:val="3"/>
        <w:keepNext w:val="0"/>
        <w:keepLines w:val="0"/>
        <w:widowControl w:val="0"/>
        <w:numPr>
          <w:ilvl w:val="0"/>
          <w:numId w:val="0"/>
        </w:numPr>
        <w:rPr>
          <w:rFonts w:ascii="Times New Roman" w:hAnsi="Times New Roman"/>
        </w:rPr>
      </w:pPr>
      <w:bookmarkStart w:id="249" w:name="_Toc68593589"/>
      <w:bookmarkStart w:id="250" w:name="_Toc482120754"/>
      <w:r>
        <w:rPr>
          <w:rFonts w:ascii="Times New Roman" w:hAnsi="Times New Roman"/>
        </w:rPr>
        <w:t>14.8  合同的终止和转让</w:t>
      </w:r>
      <w:bookmarkEnd w:id="249"/>
      <w:bookmarkEnd w:id="250"/>
    </w:p>
    <w:p>
      <w:pPr>
        <w:pStyle w:val="4"/>
        <w:keepNext w:val="0"/>
        <w:numPr>
          <w:ilvl w:val="0"/>
          <w:numId w:val="0"/>
        </w:numPr>
        <w:ind w:firstLine="560" w:firstLineChars="200"/>
        <w:rPr>
          <w:rFonts w:ascii="Times New Roman" w:hAnsi="Times New Roman"/>
        </w:rPr>
      </w:pPr>
      <w:r>
        <w:rPr>
          <w:rFonts w:ascii="Times New Roman" w:hAnsi="Times New Roman"/>
        </w:rPr>
        <w:t>如果甲方合理要求，乙方1应解除其签订的、于移交时仍有效的养护合同、设备合同、供货合同和任何其他合同。对于该等合同的解除所发生的任何费用和法律后果，甲方均不予承担，同时乙方1应尽全部合理义务保护甲方免受任何此类损害。若该等合同对项目的管理和维护是必需的，经甲方或政府指定机构要求，乙方1应向甲方或政府指定机构无偿转让上述合同的权利和义务。乙方1应协助甲方或政府指定机构与相关单位依法办理合同变更手续。</w:t>
      </w:r>
    </w:p>
    <w:p>
      <w:pPr>
        <w:pStyle w:val="3"/>
        <w:keepNext w:val="0"/>
        <w:keepLines w:val="0"/>
        <w:widowControl w:val="0"/>
        <w:numPr>
          <w:ilvl w:val="0"/>
          <w:numId w:val="0"/>
        </w:numPr>
        <w:rPr>
          <w:rFonts w:ascii="Times New Roman" w:hAnsi="Times New Roman"/>
        </w:rPr>
      </w:pPr>
      <w:bookmarkStart w:id="251" w:name="page75"/>
      <w:bookmarkEnd w:id="251"/>
      <w:bookmarkStart w:id="252" w:name="_Toc482120755"/>
      <w:bookmarkStart w:id="253" w:name="_Toc68593590"/>
      <w:r>
        <w:rPr>
          <w:rFonts w:ascii="Times New Roman" w:hAnsi="Times New Roman"/>
        </w:rPr>
        <w:t>14.9  人员</w:t>
      </w:r>
      <w:bookmarkEnd w:id="252"/>
      <w:r>
        <w:rPr>
          <w:rFonts w:ascii="Times New Roman" w:hAnsi="Times New Roman"/>
        </w:rPr>
        <w:t>的分流及安置</w:t>
      </w:r>
      <w:bookmarkEnd w:id="253"/>
    </w:p>
    <w:p>
      <w:pPr>
        <w:pStyle w:val="4"/>
        <w:keepNext w:val="0"/>
        <w:numPr>
          <w:ilvl w:val="0"/>
          <w:numId w:val="0"/>
        </w:numPr>
        <w:ind w:firstLine="560" w:firstLineChars="200"/>
        <w:rPr>
          <w:rFonts w:ascii="Times New Roman" w:hAnsi="Times New Roman"/>
        </w:rPr>
      </w:pPr>
      <w:r>
        <w:rPr>
          <w:rFonts w:ascii="Times New Roman" w:hAnsi="Times New Roman"/>
        </w:rPr>
        <w:t>特许经营期届满后，乙方1应根据劳动合同妥善安置乙方1所有雇员，由于乙方1责任导致人员安置产生的任何不利影响和后果的以及由此产生的全部法律责任和期间产生的所有费用、赔偿、补偿由乙方1和乙方2承担。</w:t>
      </w:r>
    </w:p>
    <w:p>
      <w:pPr>
        <w:pStyle w:val="3"/>
        <w:keepNext w:val="0"/>
        <w:keepLines w:val="0"/>
        <w:widowControl w:val="0"/>
        <w:numPr>
          <w:ilvl w:val="0"/>
          <w:numId w:val="0"/>
        </w:numPr>
        <w:rPr>
          <w:rFonts w:ascii="Times New Roman" w:hAnsi="Times New Roman"/>
        </w:rPr>
      </w:pPr>
      <w:bookmarkStart w:id="254" w:name="_Toc68593591"/>
      <w:bookmarkStart w:id="255" w:name="_Toc482120756"/>
      <w:r>
        <w:rPr>
          <w:rFonts w:ascii="Times New Roman" w:hAnsi="Times New Roman"/>
        </w:rPr>
        <w:t>14.10  移交费用</w:t>
      </w:r>
      <w:bookmarkEnd w:id="254"/>
      <w:bookmarkEnd w:id="255"/>
    </w:p>
    <w:p>
      <w:pPr>
        <w:pStyle w:val="4"/>
        <w:keepNext w:val="0"/>
        <w:numPr>
          <w:ilvl w:val="0"/>
          <w:numId w:val="0"/>
        </w:numPr>
        <w:ind w:firstLine="560" w:firstLineChars="200"/>
        <w:rPr>
          <w:rFonts w:ascii="Times New Roman" w:hAnsi="Times New Roman"/>
        </w:rPr>
      </w:pPr>
      <w:r>
        <w:rPr>
          <w:rFonts w:ascii="Times New Roman" w:hAnsi="Times New Roman"/>
        </w:rPr>
        <w:t>乙方1及甲方或政府指定机构负责各自的因为移交发生的费用和支出。甲方或政府指定机构应自费获得所有的批准并使之生效，并采取其他可能为移交所必需的措施。</w:t>
      </w:r>
    </w:p>
    <w:p>
      <w:pPr>
        <w:pStyle w:val="3"/>
        <w:keepNext w:val="0"/>
        <w:keepLines w:val="0"/>
        <w:widowControl w:val="0"/>
        <w:numPr>
          <w:ilvl w:val="0"/>
          <w:numId w:val="0"/>
        </w:numPr>
        <w:rPr>
          <w:rFonts w:ascii="Times New Roman" w:hAnsi="Times New Roman"/>
        </w:rPr>
      </w:pPr>
      <w:bookmarkStart w:id="256" w:name="_Toc482120757"/>
      <w:bookmarkStart w:id="257" w:name="_Toc68593592"/>
      <w:r>
        <w:rPr>
          <w:rFonts w:ascii="Times New Roman" w:hAnsi="Times New Roman"/>
        </w:rPr>
        <w:t>14.11  移交效力</w:t>
      </w:r>
      <w:bookmarkEnd w:id="256"/>
      <w:bookmarkEnd w:id="257"/>
    </w:p>
    <w:p>
      <w:pPr>
        <w:pStyle w:val="4"/>
        <w:keepNext w:val="0"/>
        <w:numPr>
          <w:ilvl w:val="0"/>
          <w:numId w:val="0"/>
        </w:numPr>
        <w:ind w:firstLine="560" w:firstLineChars="200"/>
        <w:rPr>
          <w:rFonts w:ascii="Times New Roman" w:hAnsi="Times New Roman"/>
        </w:rPr>
      </w:pPr>
      <w:r>
        <w:rPr>
          <w:rFonts w:ascii="Times New Roman" w:hAnsi="Times New Roman"/>
        </w:rPr>
        <w:t>14.11.1  自移交日起，乙方1在本合同项下的特许经营权即行终止。</w:t>
      </w:r>
    </w:p>
    <w:p>
      <w:pPr>
        <w:pStyle w:val="4"/>
        <w:keepNext w:val="0"/>
        <w:numPr>
          <w:ilvl w:val="0"/>
          <w:numId w:val="0"/>
        </w:numPr>
        <w:ind w:firstLine="560" w:firstLineChars="200"/>
        <w:rPr>
          <w:rFonts w:ascii="Times New Roman" w:hAnsi="Times New Roman"/>
        </w:rPr>
      </w:pPr>
      <w:r>
        <w:rPr>
          <w:rFonts w:ascii="Times New Roman" w:hAnsi="Times New Roman"/>
        </w:rPr>
        <w:t>14.11.2自移交日起，项目设施的所有其他相关权益均转移给甲方或其指定的机构。</w:t>
      </w:r>
      <w:bookmarkStart w:id="258" w:name="page76"/>
      <w:bookmarkEnd w:id="258"/>
    </w:p>
    <w:p>
      <w:pPr>
        <w:pStyle w:val="4"/>
        <w:keepNext w:val="0"/>
        <w:numPr>
          <w:ilvl w:val="0"/>
          <w:numId w:val="0"/>
        </w:numPr>
        <w:ind w:firstLine="560" w:firstLineChars="200"/>
        <w:rPr>
          <w:rFonts w:ascii="Times New Roman" w:hAnsi="Times New Roman"/>
        </w:rPr>
      </w:pPr>
      <w:r>
        <w:rPr>
          <w:rFonts w:ascii="Times New Roman" w:hAnsi="Times New Roman"/>
        </w:rPr>
        <w:t>14.11.3自移交日起，由甲方或政府指定机构全面负责项目设施的管理和养护。</w:t>
      </w:r>
    </w:p>
    <w:p>
      <w:pPr>
        <w:pStyle w:val="4"/>
        <w:keepNext w:val="0"/>
        <w:numPr>
          <w:ilvl w:val="0"/>
          <w:numId w:val="0"/>
        </w:numPr>
        <w:ind w:firstLine="560" w:firstLineChars="200"/>
        <w:rPr>
          <w:rFonts w:ascii="Times New Roman" w:hAnsi="Times New Roman"/>
        </w:rPr>
      </w:pPr>
      <w:r>
        <w:rPr>
          <w:rFonts w:ascii="Times New Roman" w:hAnsi="Times New Roman"/>
        </w:rPr>
        <w:t>14.11.4双方在本合同项下未履行完毕的其他权利和义务应当继续履行。</w:t>
      </w:r>
    </w:p>
    <w:p>
      <w:pPr>
        <w:pStyle w:val="4"/>
        <w:keepNext w:val="0"/>
        <w:numPr>
          <w:ilvl w:val="0"/>
          <w:numId w:val="0"/>
        </w:numPr>
        <w:ind w:firstLine="560" w:firstLineChars="200"/>
        <w:rPr>
          <w:rFonts w:ascii="Times New Roman" w:hAnsi="Times New Roman"/>
        </w:rPr>
      </w:pPr>
      <w:r>
        <w:rPr>
          <w:rFonts w:ascii="Times New Roman" w:hAnsi="Times New Roman"/>
        </w:rPr>
        <w:t>14.11.5除上述特许经营条款下第14.8条款所规定的可转让合同权利和义务外，乙方1于移交日之前发生及未付的债务不得移交。</w:t>
      </w:r>
    </w:p>
    <w:p>
      <w:pPr>
        <w:pStyle w:val="3"/>
        <w:keepNext w:val="0"/>
        <w:keepLines w:val="0"/>
        <w:widowControl w:val="0"/>
        <w:numPr>
          <w:ilvl w:val="0"/>
          <w:numId w:val="0"/>
        </w:numPr>
        <w:rPr>
          <w:rFonts w:ascii="Times New Roman" w:hAnsi="Times New Roman"/>
        </w:rPr>
      </w:pPr>
      <w:bookmarkStart w:id="259" w:name="_Toc482120758"/>
      <w:bookmarkStart w:id="260" w:name="_Toc68593593"/>
      <w:r>
        <w:rPr>
          <w:rFonts w:ascii="Times New Roman" w:hAnsi="Times New Roman"/>
        </w:rPr>
        <w:t>14.12  移走乙方1的其他无关物品</w:t>
      </w:r>
      <w:bookmarkEnd w:id="259"/>
      <w:bookmarkEnd w:id="260"/>
    </w:p>
    <w:p>
      <w:pPr>
        <w:pStyle w:val="4"/>
        <w:keepNext w:val="0"/>
        <w:numPr>
          <w:ilvl w:val="0"/>
          <w:numId w:val="0"/>
        </w:numPr>
        <w:ind w:firstLine="560" w:firstLineChars="200"/>
        <w:rPr>
          <w:rFonts w:ascii="Times New Roman" w:hAnsi="Times New Roman"/>
        </w:rPr>
      </w:pPr>
      <w:r>
        <w:rPr>
          <w:rFonts w:ascii="Times New Roman" w:hAnsi="Times New Roman"/>
        </w:rPr>
        <w:t>除非双方另有协议，乙方1应于移交日起六十（60）日内，自费从项目场地移走乙方1雇员的个人用品以及与项目运营无关的物品。若乙方1在上述时间内未能移走这些物品，甲方在通知乙方1后，有权将该物品予以提存，乙方1承担搬移、运输和保管的合理费用和风险。</w:t>
      </w:r>
    </w:p>
    <w:p>
      <w:pPr>
        <w:pStyle w:val="2"/>
        <w:keepNext w:val="0"/>
        <w:ind w:right="0" w:rightChars="0"/>
        <w:rPr>
          <w:rFonts w:ascii="Times New Roman" w:hAnsi="Times New Roman"/>
          <w:lang w:eastAsia="zh-CN"/>
        </w:rPr>
      </w:pPr>
      <w:r>
        <w:rPr>
          <w:rFonts w:ascii="Times New Roman" w:hAnsi="Times New Roman"/>
          <w:lang w:eastAsia="zh-CN"/>
        </w:rPr>
        <w:br w:type="page"/>
      </w:r>
      <w:bookmarkStart w:id="261" w:name="page77"/>
      <w:bookmarkEnd w:id="261"/>
      <w:bookmarkStart w:id="262" w:name="_Toc68593594"/>
      <w:bookmarkStart w:id="263" w:name="_Toc480978651"/>
      <w:bookmarkStart w:id="264" w:name="_Toc482120759"/>
      <w:r>
        <w:rPr>
          <w:rFonts w:ascii="Times New Roman" w:hAnsi="Times New Roman"/>
          <w:lang w:eastAsia="zh-CN"/>
        </w:rPr>
        <w:t>第15条  不可抗力</w:t>
      </w:r>
      <w:bookmarkEnd w:id="262"/>
      <w:bookmarkEnd w:id="263"/>
      <w:bookmarkEnd w:id="264"/>
    </w:p>
    <w:p>
      <w:pPr>
        <w:pStyle w:val="3"/>
        <w:keepNext w:val="0"/>
        <w:keepLines w:val="0"/>
        <w:widowControl w:val="0"/>
        <w:numPr>
          <w:ilvl w:val="0"/>
          <w:numId w:val="0"/>
        </w:numPr>
        <w:rPr>
          <w:rFonts w:ascii="Times New Roman" w:hAnsi="Times New Roman"/>
        </w:rPr>
      </w:pPr>
      <w:bookmarkStart w:id="265" w:name="_Toc482120760"/>
      <w:bookmarkStart w:id="266" w:name="_Toc68593595"/>
      <w:r>
        <w:rPr>
          <w:rFonts w:ascii="Times New Roman" w:hAnsi="Times New Roman"/>
        </w:rPr>
        <w:t>15.1  不可抗力事件</w:t>
      </w:r>
      <w:bookmarkEnd w:id="265"/>
      <w:bookmarkEnd w:id="266"/>
    </w:p>
    <w:p>
      <w:pPr>
        <w:pStyle w:val="4"/>
        <w:keepNext w:val="0"/>
        <w:numPr>
          <w:ilvl w:val="0"/>
          <w:numId w:val="0"/>
        </w:numPr>
        <w:ind w:firstLine="560" w:firstLineChars="200"/>
        <w:rPr>
          <w:rFonts w:ascii="Times New Roman" w:hAnsi="Times New Roman"/>
        </w:rPr>
      </w:pPr>
      <w:r>
        <w:rPr>
          <w:rFonts w:ascii="Times New Roman" w:hAnsi="Times New Roman"/>
        </w:rPr>
        <w:t>15.1.1不可抗力是指：</w:t>
      </w:r>
    </w:p>
    <w:p>
      <w:pPr>
        <w:pStyle w:val="4"/>
        <w:keepNext w:val="0"/>
        <w:numPr>
          <w:ilvl w:val="0"/>
          <w:numId w:val="0"/>
        </w:numPr>
        <w:ind w:firstLine="560" w:firstLineChars="200"/>
        <w:rPr>
          <w:rFonts w:ascii="Times New Roman" w:hAnsi="Times New Roman"/>
        </w:rPr>
      </w:pPr>
      <w:r>
        <w:rPr>
          <w:rFonts w:ascii="Times New Roman" w:hAnsi="Times New Roman"/>
        </w:rPr>
        <w:t>（a）在生效日时不能合理预见的；且</w:t>
      </w:r>
    </w:p>
    <w:p>
      <w:pPr>
        <w:pStyle w:val="4"/>
        <w:keepNext w:val="0"/>
        <w:numPr>
          <w:ilvl w:val="0"/>
          <w:numId w:val="0"/>
        </w:numPr>
        <w:ind w:firstLine="560" w:firstLineChars="200"/>
        <w:rPr>
          <w:rFonts w:ascii="Times New Roman" w:hAnsi="Times New Roman"/>
        </w:rPr>
      </w:pPr>
      <w:r>
        <w:rPr>
          <w:rFonts w:ascii="Times New Roman" w:hAnsi="Times New Roman"/>
        </w:rPr>
        <w:t>（b）声称遭受不可抗力影响的一方对该事件及其后果不能克服和不能避免。</w:t>
      </w:r>
    </w:p>
    <w:p>
      <w:pPr>
        <w:pStyle w:val="4"/>
        <w:keepNext w:val="0"/>
        <w:numPr>
          <w:ilvl w:val="0"/>
          <w:numId w:val="0"/>
        </w:numPr>
        <w:ind w:firstLine="560" w:firstLineChars="200"/>
        <w:rPr>
          <w:rFonts w:ascii="Times New Roman" w:hAnsi="Times New Roman"/>
        </w:rPr>
      </w:pPr>
      <w:r>
        <w:rPr>
          <w:rFonts w:ascii="Times New Roman" w:hAnsi="Times New Roman"/>
        </w:rPr>
        <w:t>15.1.2如果每一事件符合上述第15.1.1条款所规定的条件，则视为不可抗力事件。包括但不限于：</w:t>
      </w:r>
    </w:p>
    <w:p>
      <w:pPr>
        <w:pStyle w:val="4"/>
        <w:keepNext w:val="0"/>
        <w:numPr>
          <w:ilvl w:val="0"/>
          <w:numId w:val="0"/>
        </w:numPr>
        <w:ind w:firstLine="560" w:firstLineChars="200"/>
        <w:rPr>
          <w:rFonts w:ascii="Times New Roman" w:hAnsi="Times New Roman"/>
        </w:rPr>
      </w:pPr>
      <w:r>
        <w:rPr>
          <w:rFonts w:ascii="Times New Roman" w:hAnsi="Times New Roman"/>
        </w:rPr>
        <w:t>（a）地震、海啸、火山爆发、泥石流、暴雨（雪）、台风、龙卷风、水灾等自然灾害；</w:t>
      </w:r>
    </w:p>
    <w:p>
      <w:pPr>
        <w:pStyle w:val="4"/>
        <w:keepNext w:val="0"/>
        <w:numPr>
          <w:ilvl w:val="0"/>
          <w:numId w:val="0"/>
        </w:numPr>
        <w:ind w:firstLine="560" w:firstLineChars="200"/>
        <w:rPr>
          <w:rFonts w:ascii="Times New Roman" w:hAnsi="Times New Roman"/>
        </w:rPr>
      </w:pPr>
      <w:r>
        <w:rPr>
          <w:rFonts w:ascii="Times New Roman" w:hAnsi="Times New Roman"/>
        </w:rPr>
        <w:t>（b）战争、骚乱、暴动、瘟疫等，但纯属乙方1派遣与雇佣的人员由于本合同引起的除外；</w:t>
      </w:r>
    </w:p>
    <w:p>
      <w:pPr>
        <w:pStyle w:val="4"/>
        <w:keepNext w:val="0"/>
        <w:numPr>
          <w:ilvl w:val="0"/>
          <w:numId w:val="0"/>
        </w:numPr>
        <w:ind w:firstLine="560" w:firstLineChars="200"/>
        <w:rPr>
          <w:rFonts w:ascii="Times New Roman" w:hAnsi="Times New Roman"/>
        </w:rPr>
      </w:pPr>
      <w:r>
        <w:rPr>
          <w:rFonts w:ascii="Times New Roman" w:hAnsi="Times New Roman"/>
        </w:rPr>
        <w:t>（c）核反应、辐射或放射性污染；</w:t>
      </w:r>
    </w:p>
    <w:p>
      <w:pPr>
        <w:pStyle w:val="4"/>
        <w:keepNext w:val="0"/>
        <w:numPr>
          <w:ilvl w:val="0"/>
          <w:numId w:val="0"/>
        </w:numPr>
        <w:ind w:firstLine="560" w:firstLineChars="200"/>
        <w:rPr>
          <w:rFonts w:ascii="Times New Roman" w:hAnsi="Times New Roman"/>
        </w:rPr>
      </w:pPr>
      <w:r>
        <w:rPr>
          <w:rFonts w:ascii="Times New Roman" w:hAnsi="Times New Roman"/>
        </w:rPr>
        <w:t>（d）空中飞行物坠落或非发包人或承包人责任造成的爆炸、水灾；</w:t>
      </w:r>
    </w:p>
    <w:p>
      <w:pPr>
        <w:pStyle w:val="4"/>
        <w:keepNext w:val="0"/>
        <w:numPr>
          <w:ilvl w:val="0"/>
          <w:numId w:val="0"/>
        </w:numPr>
        <w:ind w:firstLine="560" w:firstLineChars="200"/>
        <w:rPr>
          <w:rFonts w:ascii="Times New Roman" w:hAnsi="Times New Roman"/>
        </w:rPr>
      </w:pPr>
      <w:r>
        <w:rPr>
          <w:rFonts w:ascii="Times New Roman" w:hAnsi="Times New Roman"/>
        </w:rPr>
        <w:t>（e）省级以上（不含省级）政府部门对项目设施或其任何部分实行的征收、征用、国有化；</w:t>
      </w:r>
    </w:p>
    <w:p>
      <w:pPr>
        <w:pStyle w:val="4"/>
        <w:keepNext w:val="0"/>
        <w:numPr>
          <w:ilvl w:val="0"/>
          <w:numId w:val="0"/>
        </w:numPr>
        <w:ind w:firstLine="560" w:firstLineChars="200"/>
        <w:rPr>
          <w:rFonts w:ascii="Times New Roman" w:hAnsi="Times New Roman"/>
        </w:rPr>
      </w:pPr>
      <w:r>
        <w:rPr>
          <w:rFonts w:ascii="Times New Roman" w:hAnsi="Times New Roman"/>
        </w:rPr>
        <w:t>（f）省级以上（不含省级）政府颁布的重大法律变更和政府政策变化。</w:t>
      </w:r>
    </w:p>
    <w:p>
      <w:pPr>
        <w:pStyle w:val="3"/>
        <w:keepNext w:val="0"/>
        <w:keepLines w:val="0"/>
        <w:widowControl w:val="0"/>
        <w:numPr>
          <w:ilvl w:val="0"/>
          <w:numId w:val="0"/>
        </w:numPr>
        <w:rPr>
          <w:rFonts w:ascii="Times New Roman" w:hAnsi="Times New Roman"/>
        </w:rPr>
      </w:pPr>
      <w:bookmarkStart w:id="267" w:name="_Toc68593596"/>
      <w:bookmarkStart w:id="268" w:name="_Toc482120761"/>
      <w:r>
        <w:rPr>
          <w:rFonts w:ascii="Times New Roman" w:hAnsi="Times New Roman"/>
        </w:rPr>
        <w:t>15.2  免于履行</w:t>
      </w:r>
      <w:bookmarkEnd w:id="267"/>
      <w:bookmarkEnd w:id="268"/>
    </w:p>
    <w:p>
      <w:pPr>
        <w:pStyle w:val="4"/>
        <w:keepNext w:val="0"/>
        <w:numPr>
          <w:ilvl w:val="0"/>
          <w:numId w:val="0"/>
        </w:numPr>
        <w:ind w:firstLine="560" w:firstLineChars="200"/>
        <w:rPr>
          <w:rFonts w:ascii="Times New Roman" w:hAnsi="Times New Roman"/>
        </w:rPr>
      </w:pPr>
      <w:r>
        <w:rPr>
          <w:rFonts w:ascii="Times New Roman" w:hAnsi="Times New Roman"/>
        </w:rPr>
        <w:t>当生效日起发生的不可抗力事件全部地或部分地阻碍一方履行其在本合同的义务时，可在不可抗力影响的范围内，全部或部分</w:t>
      </w:r>
      <w:bookmarkStart w:id="269" w:name="page78"/>
      <w:bookmarkEnd w:id="269"/>
      <w:r>
        <w:rPr>
          <w:rFonts w:ascii="Times New Roman" w:hAnsi="Times New Roman"/>
        </w:rPr>
        <w:t>免除该方在本合同项下的相应义务。</w:t>
      </w:r>
    </w:p>
    <w:p>
      <w:pPr>
        <w:pStyle w:val="3"/>
        <w:keepNext w:val="0"/>
        <w:keepLines w:val="0"/>
        <w:widowControl w:val="0"/>
        <w:numPr>
          <w:ilvl w:val="0"/>
          <w:numId w:val="0"/>
        </w:numPr>
        <w:rPr>
          <w:rFonts w:ascii="Times New Roman" w:hAnsi="Times New Roman"/>
        </w:rPr>
      </w:pPr>
      <w:bookmarkStart w:id="270" w:name="_Toc482120762"/>
      <w:bookmarkStart w:id="271" w:name="_Toc68593597"/>
      <w:r>
        <w:rPr>
          <w:rFonts w:ascii="Times New Roman" w:hAnsi="Times New Roman"/>
        </w:rPr>
        <w:t>15.3  不可抗力发生后的处理程序</w:t>
      </w:r>
      <w:bookmarkEnd w:id="270"/>
      <w:bookmarkEnd w:id="271"/>
    </w:p>
    <w:p>
      <w:pPr>
        <w:pStyle w:val="4"/>
        <w:keepNext w:val="0"/>
        <w:numPr>
          <w:ilvl w:val="0"/>
          <w:numId w:val="0"/>
        </w:numPr>
        <w:ind w:firstLine="560" w:firstLineChars="200"/>
        <w:rPr>
          <w:rFonts w:ascii="Times New Roman" w:hAnsi="Times New Roman"/>
        </w:rPr>
      </w:pPr>
      <w:r>
        <w:rPr>
          <w:rFonts w:ascii="Times New Roman" w:hAnsi="Times New Roman"/>
        </w:rPr>
        <w:t>15.3.1声称受到不可抗力影响的一方应在发生不可抗力或知道发生不可抗力之后24小时以内书面通知另一方并详细描述不可抗力的发生情况和可能导致的后果，包括该不可抗力发生的时间和预计停止的时间，以及对该方履行在投资协议及本合同中应履行的义务的影响，并在另一方合理要求时提供证明。</w:t>
      </w:r>
    </w:p>
    <w:p>
      <w:pPr>
        <w:pStyle w:val="4"/>
        <w:keepNext w:val="0"/>
        <w:numPr>
          <w:ilvl w:val="0"/>
          <w:numId w:val="0"/>
        </w:numPr>
        <w:ind w:firstLine="560" w:firstLineChars="200"/>
        <w:rPr>
          <w:rFonts w:ascii="Times New Roman" w:hAnsi="Times New Roman"/>
        </w:rPr>
      </w:pPr>
      <w:r>
        <w:rPr>
          <w:rFonts w:ascii="Times New Roman" w:hAnsi="Times New Roman"/>
        </w:rPr>
        <w:t>15.3.2发生不可抗力事件后，双方应本着诚信平等的原则，立即就此等不可抗力事件进行协商。</w:t>
      </w:r>
    </w:p>
    <w:p>
      <w:pPr>
        <w:pStyle w:val="3"/>
        <w:keepNext w:val="0"/>
        <w:keepLines w:val="0"/>
        <w:widowControl w:val="0"/>
        <w:numPr>
          <w:ilvl w:val="0"/>
          <w:numId w:val="0"/>
        </w:numPr>
        <w:rPr>
          <w:rFonts w:ascii="Times New Roman" w:hAnsi="Times New Roman"/>
        </w:rPr>
      </w:pPr>
      <w:bookmarkStart w:id="272" w:name="_Toc68593598"/>
      <w:bookmarkStart w:id="273" w:name="_Toc482120763"/>
      <w:r>
        <w:rPr>
          <w:rFonts w:ascii="Times New Roman" w:hAnsi="Times New Roman"/>
        </w:rPr>
        <w:t>15.4  费用及时间表的修改</w:t>
      </w:r>
      <w:bookmarkEnd w:id="272"/>
      <w:bookmarkEnd w:id="273"/>
    </w:p>
    <w:p>
      <w:pPr>
        <w:pStyle w:val="4"/>
        <w:keepNext w:val="0"/>
        <w:numPr>
          <w:ilvl w:val="0"/>
          <w:numId w:val="0"/>
        </w:numPr>
        <w:ind w:firstLine="560" w:firstLineChars="200"/>
        <w:rPr>
          <w:rFonts w:ascii="Times New Roman" w:hAnsi="Times New Roman"/>
        </w:rPr>
      </w:pPr>
      <w:r>
        <w:rPr>
          <w:rFonts w:ascii="Times New Roman" w:hAnsi="Times New Roman"/>
        </w:rPr>
        <w:t>15.4.1除本合同或双方另有约定外，发生不可抗力时，双方应各自承担由于不可抗力对其造成的损失；</w:t>
      </w:r>
    </w:p>
    <w:p>
      <w:pPr>
        <w:pStyle w:val="4"/>
        <w:keepNext w:val="0"/>
        <w:numPr>
          <w:ilvl w:val="0"/>
          <w:numId w:val="0"/>
        </w:numPr>
        <w:ind w:firstLine="560" w:firstLineChars="200"/>
        <w:rPr>
          <w:rFonts w:ascii="Times New Roman" w:hAnsi="Times New Roman"/>
        </w:rPr>
      </w:pPr>
      <w:r>
        <w:rPr>
          <w:rFonts w:ascii="Times New Roman" w:hAnsi="Times New Roman"/>
        </w:rPr>
        <w:t>15.4.2如果声称遭受不可抗力影响的一方已履行了通知程序，并且在不可抗力事件影响项目进展的情况下，已履行了请求延长进度日期的程序，则本合同中规定的履行某项义务的任何期限，经受到影响的一方请求，应根据不可抗力对履行该项义务产生影响的相同时间相应顺延。</w:t>
      </w:r>
    </w:p>
    <w:p>
      <w:pPr>
        <w:pStyle w:val="3"/>
        <w:keepNext w:val="0"/>
        <w:keepLines w:val="0"/>
        <w:widowControl w:val="0"/>
        <w:numPr>
          <w:ilvl w:val="0"/>
          <w:numId w:val="0"/>
        </w:numPr>
        <w:rPr>
          <w:rFonts w:ascii="Times New Roman" w:hAnsi="Times New Roman"/>
        </w:rPr>
      </w:pPr>
      <w:bookmarkStart w:id="274" w:name="_Toc482120764"/>
      <w:bookmarkStart w:id="275" w:name="_Toc68593599"/>
      <w:r>
        <w:rPr>
          <w:rFonts w:ascii="Times New Roman" w:hAnsi="Times New Roman"/>
        </w:rPr>
        <w:t>15.5  减少损失的责任和协商</w:t>
      </w:r>
      <w:bookmarkEnd w:id="274"/>
      <w:bookmarkEnd w:id="275"/>
    </w:p>
    <w:p>
      <w:pPr>
        <w:pStyle w:val="4"/>
        <w:keepNext w:val="0"/>
        <w:numPr>
          <w:ilvl w:val="0"/>
          <w:numId w:val="0"/>
        </w:numPr>
        <w:ind w:firstLine="560" w:firstLineChars="200"/>
        <w:rPr>
          <w:rFonts w:ascii="Times New Roman" w:hAnsi="Times New Roman"/>
        </w:rPr>
      </w:pPr>
      <w:r>
        <w:rPr>
          <w:rFonts w:ascii="Times New Roman" w:hAnsi="Times New Roman"/>
        </w:rPr>
        <w:t>15.5.1受到不可抗力影响的一方应尽合理的努力减少不可抗力对其造成的影响，包括根据该等措施为可能产生的结果支付合理的费用。双方应协商制定并实施补救计划及合理的替代措施以消</w:t>
      </w:r>
      <w:bookmarkStart w:id="276" w:name="page79"/>
      <w:bookmarkEnd w:id="276"/>
      <w:r>
        <w:rPr>
          <w:rFonts w:ascii="Times New Roman" w:hAnsi="Times New Roman"/>
        </w:rPr>
        <w:t>除不可抗力的影响，并决定为尽量减少不可抗力给每一方带来的损失应采取的合理的手段；</w:t>
      </w:r>
    </w:p>
    <w:p>
      <w:pPr>
        <w:pStyle w:val="4"/>
        <w:keepNext w:val="0"/>
        <w:numPr>
          <w:ilvl w:val="0"/>
          <w:numId w:val="0"/>
        </w:numPr>
        <w:ind w:firstLine="560" w:firstLineChars="200"/>
        <w:rPr>
          <w:rFonts w:ascii="Times New Roman" w:hAnsi="Times New Roman"/>
        </w:rPr>
      </w:pPr>
      <w:r>
        <w:rPr>
          <w:rFonts w:ascii="Times New Roman" w:hAnsi="Times New Roman"/>
        </w:rPr>
        <w:t>15.5.2声称受到不可抗力影响的一方在不可抗力的影响消除之后应尽快恢复履行本合同规定的义务。</w:t>
      </w:r>
    </w:p>
    <w:p>
      <w:pPr>
        <w:pStyle w:val="3"/>
        <w:keepNext w:val="0"/>
        <w:keepLines w:val="0"/>
        <w:widowControl w:val="0"/>
        <w:numPr>
          <w:ilvl w:val="0"/>
          <w:numId w:val="0"/>
        </w:numPr>
        <w:rPr>
          <w:rFonts w:ascii="Times New Roman" w:hAnsi="Times New Roman"/>
        </w:rPr>
      </w:pPr>
      <w:bookmarkStart w:id="277" w:name="_Toc68593600"/>
      <w:bookmarkStart w:id="278" w:name="_Toc482120765"/>
      <w:r>
        <w:rPr>
          <w:rFonts w:ascii="Times New Roman" w:hAnsi="Times New Roman"/>
        </w:rPr>
        <w:t>15.6  不可抗力造成的终止</w:t>
      </w:r>
      <w:bookmarkEnd w:id="277"/>
      <w:bookmarkEnd w:id="278"/>
    </w:p>
    <w:p>
      <w:pPr>
        <w:pStyle w:val="4"/>
        <w:keepNext w:val="0"/>
        <w:numPr>
          <w:ilvl w:val="0"/>
          <w:numId w:val="0"/>
        </w:numPr>
        <w:ind w:firstLine="560" w:firstLineChars="200"/>
        <w:rPr>
          <w:rFonts w:ascii="Times New Roman" w:hAnsi="Times New Roman"/>
        </w:rPr>
      </w:pPr>
      <w:r>
        <w:rPr>
          <w:rFonts w:ascii="Times New Roman" w:hAnsi="Times New Roman"/>
        </w:rPr>
        <w:t>15.6.1如果任何不可抗力事件阻止一方履行其义务且经过努力仍不可克服，自该不可抗力发生或知道发生之日起连续超过九十（90）日，双方应协商决定继续履行本合同的条件或者同意按照本合同第16条的规定终止本合同；</w:t>
      </w:r>
    </w:p>
    <w:p>
      <w:pPr>
        <w:pStyle w:val="4"/>
        <w:keepNext w:val="0"/>
        <w:numPr>
          <w:ilvl w:val="0"/>
          <w:numId w:val="0"/>
        </w:numPr>
        <w:ind w:firstLine="560" w:firstLineChars="200"/>
        <w:rPr>
          <w:rFonts w:ascii="Times New Roman" w:hAnsi="Times New Roman"/>
        </w:rPr>
      </w:pPr>
      <w:r>
        <w:rPr>
          <w:rFonts w:ascii="Times New Roman" w:hAnsi="Times New Roman"/>
        </w:rPr>
        <w:t>15.6.2如果自该不可抗力发生或知道发生之日起一百八十（180）日之内双方不能就继续履行的条件或终止本合同达成一致意见，则任何一方有权根据本合同第16条的规定向另一方发出终止意向通知。</w:t>
      </w:r>
    </w:p>
    <w:p>
      <w:pPr>
        <w:pStyle w:val="2"/>
        <w:keepNext w:val="0"/>
        <w:ind w:right="0" w:rightChars="0"/>
        <w:rPr>
          <w:rFonts w:ascii="Times New Roman" w:hAnsi="Times New Roman"/>
          <w:b w:val="0"/>
          <w:lang w:eastAsia="zh-CN"/>
        </w:rPr>
      </w:pPr>
      <w:r>
        <w:rPr>
          <w:rFonts w:ascii="Times New Roman" w:hAnsi="Times New Roman"/>
          <w:lang w:eastAsia="zh-CN"/>
        </w:rPr>
        <w:br w:type="page"/>
      </w:r>
      <w:bookmarkStart w:id="279" w:name="page80"/>
      <w:bookmarkEnd w:id="279"/>
      <w:bookmarkStart w:id="280" w:name="_Toc68593601"/>
      <w:bookmarkStart w:id="281" w:name="_Toc480978652"/>
      <w:bookmarkStart w:id="282" w:name="_Toc482120766"/>
      <w:r>
        <w:rPr>
          <w:rFonts w:ascii="Times New Roman" w:hAnsi="Times New Roman"/>
          <w:lang w:eastAsia="zh-CN"/>
        </w:rPr>
        <w:t>第16条  提前终止</w:t>
      </w:r>
      <w:bookmarkEnd w:id="280"/>
      <w:bookmarkEnd w:id="281"/>
      <w:bookmarkEnd w:id="282"/>
    </w:p>
    <w:p>
      <w:pPr>
        <w:pStyle w:val="3"/>
        <w:keepNext w:val="0"/>
        <w:keepLines w:val="0"/>
        <w:widowControl w:val="0"/>
        <w:numPr>
          <w:ilvl w:val="0"/>
          <w:numId w:val="0"/>
        </w:numPr>
        <w:rPr>
          <w:rFonts w:ascii="Times New Roman" w:hAnsi="Times New Roman"/>
        </w:rPr>
      </w:pPr>
      <w:bookmarkStart w:id="283" w:name="_Toc68593602"/>
      <w:bookmarkStart w:id="284" w:name="_Toc482120767"/>
      <w:r>
        <w:rPr>
          <w:rFonts w:ascii="Times New Roman" w:hAnsi="Times New Roman"/>
        </w:rPr>
        <w:t>16.1  由甲方提出的提前终止</w:t>
      </w:r>
      <w:bookmarkEnd w:id="283"/>
      <w:bookmarkEnd w:id="284"/>
    </w:p>
    <w:p>
      <w:pPr>
        <w:pStyle w:val="4"/>
        <w:keepNext w:val="0"/>
        <w:numPr>
          <w:ilvl w:val="0"/>
          <w:numId w:val="0"/>
        </w:numPr>
        <w:ind w:firstLine="560" w:firstLineChars="200"/>
        <w:rPr>
          <w:rFonts w:ascii="Times New Roman" w:hAnsi="Times New Roman"/>
        </w:rPr>
      </w:pPr>
      <w:r>
        <w:rPr>
          <w:rFonts w:ascii="Times New Roman" w:hAnsi="Times New Roman"/>
        </w:rPr>
        <w:t>下述每一条款所述事件，如果不是由于不可抗力或甲方违约所致，如果有允许的纠正期限而在该期限内未能纠正，甲方有权立即发出提前终止意向通知：</w:t>
      </w:r>
    </w:p>
    <w:p>
      <w:pPr>
        <w:pStyle w:val="4"/>
        <w:keepNext w:val="0"/>
        <w:numPr>
          <w:ilvl w:val="0"/>
          <w:numId w:val="0"/>
        </w:numPr>
        <w:ind w:firstLine="560" w:firstLineChars="200"/>
        <w:rPr>
          <w:rFonts w:ascii="Times New Roman" w:hAnsi="Times New Roman"/>
        </w:rPr>
      </w:pPr>
      <w:r>
        <w:rPr>
          <w:rFonts w:ascii="Times New Roman" w:hAnsi="Times New Roman"/>
        </w:rPr>
        <w:t>16.1.1乙方1在本合同第3.2条款中的任何声明被证明实质不属实，使乙方1履行本合同的能力受到严重的不利影响；</w:t>
      </w:r>
    </w:p>
    <w:p>
      <w:pPr>
        <w:pStyle w:val="4"/>
        <w:keepNext w:val="0"/>
        <w:numPr>
          <w:ilvl w:val="0"/>
          <w:numId w:val="0"/>
        </w:numPr>
        <w:ind w:firstLine="560" w:firstLineChars="200"/>
        <w:rPr>
          <w:rFonts w:ascii="Times New Roman" w:hAnsi="Times New Roman"/>
        </w:rPr>
      </w:pPr>
      <w:r>
        <w:rPr>
          <w:rFonts w:ascii="Times New Roman" w:hAnsi="Times New Roman"/>
        </w:rPr>
        <w:t>16.1.2乙方2未按照招标文件、投标文件及本合同约定完成乙方1实缴出资；</w:t>
      </w:r>
    </w:p>
    <w:p>
      <w:pPr>
        <w:pStyle w:val="4"/>
        <w:keepNext w:val="0"/>
        <w:numPr>
          <w:ilvl w:val="0"/>
          <w:numId w:val="0"/>
        </w:numPr>
        <w:ind w:firstLine="560" w:firstLineChars="200"/>
        <w:rPr>
          <w:rFonts w:ascii="Times New Roman" w:hAnsi="Times New Roman"/>
        </w:rPr>
      </w:pPr>
      <w:r>
        <w:rPr>
          <w:rFonts w:ascii="Times New Roman" w:hAnsi="Times New Roman"/>
        </w:rPr>
        <w:t>16.1.3乙方1未按规定完成融资交割，或乙方1未能提供有效融资支持；</w:t>
      </w:r>
    </w:p>
    <w:p>
      <w:pPr>
        <w:pStyle w:val="4"/>
        <w:keepNext w:val="0"/>
        <w:numPr>
          <w:ilvl w:val="0"/>
          <w:numId w:val="0"/>
        </w:numPr>
        <w:ind w:firstLine="560" w:firstLineChars="200"/>
        <w:rPr>
          <w:rFonts w:ascii="Times New Roman" w:hAnsi="Times New Roman"/>
        </w:rPr>
      </w:pPr>
      <w:r>
        <w:rPr>
          <w:rFonts w:ascii="Times New Roman" w:hAnsi="Times New Roman"/>
        </w:rPr>
        <w:t>16.1.4乙方1和乙方2未能根据本合同的约定保持履约保证金持续有效；</w:t>
      </w:r>
    </w:p>
    <w:p>
      <w:pPr>
        <w:pStyle w:val="4"/>
        <w:keepNext w:val="0"/>
        <w:numPr>
          <w:ilvl w:val="0"/>
          <w:numId w:val="0"/>
        </w:numPr>
        <w:ind w:firstLine="560" w:firstLineChars="200"/>
        <w:rPr>
          <w:rFonts w:ascii="Times New Roman" w:hAnsi="Times New Roman"/>
        </w:rPr>
      </w:pPr>
      <w:r>
        <w:rPr>
          <w:rFonts w:ascii="Times New Roman" w:hAnsi="Times New Roman"/>
        </w:rPr>
        <w:t>16.1.5乙方1出现本合同第7.16条款约定的放弃建设或视为放弃建设情形的；</w:t>
      </w:r>
    </w:p>
    <w:p>
      <w:pPr>
        <w:pStyle w:val="4"/>
        <w:keepNext w:val="0"/>
        <w:numPr>
          <w:ilvl w:val="0"/>
          <w:numId w:val="0"/>
        </w:numPr>
        <w:ind w:firstLine="560" w:firstLineChars="200"/>
        <w:rPr>
          <w:rFonts w:ascii="Times New Roman" w:hAnsi="Times New Roman"/>
        </w:rPr>
      </w:pPr>
      <w:r>
        <w:rPr>
          <w:rFonts w:ascii="Times New Roman" w:hAnsi="Times New Roman"/>
        </w:rPr>
        <w:t>16.1.6建设期间的质量事故及质量问题频发，甲方认为可能导致交工验收不合格时；在竣（交）工验收经两次整改或完善整改仍未达到竣（交）工验收标准的；在运营期由于养护标准不达标严重影响运营安全的；</w:t>
      </w:r>
    </w:p>
    <w:p>
      <w:pPr>
        <w:pStyle w:val="4"/>
        <w:keepNext w:val="0"/>
        <w:numPr>
          <w:ilvl w:val="0"/>
          <w:numId w:val="0"/>
        </w:numPr>
        <w:ind w:firstLine="560" w:firstLineChars="200"/>
        <w:rPr>
          <w:rFonts w:ascii="Times New Roman" w:hAnsi="Times New Roman"/>
        </w:rPr>
      </w:pPr>
      <w:r>
        <w:rPr>
          <w:rFonts w:ascii="Times New Roman" w:hAnsi="Times New Roman"/>
        </w:rPr>
        <w:t>16.1.7建设期间，因乙方1或乙方2原因导致任一建设项目的控制性工程工期严重滞后，甲方认为乙方1不能按期交工，可能导致总工期延期超过一（1）年以上；</w:t>
      </w:r>
    </w:p>
    <w:p>
      <w:pPr>
        <w:pStyle w:val="4"/>
        <w:keepNext w:val="0"/>
        <w:numPr>
          <w:ilvl w:val="0"/>
          <w:numId w:val="0"/>
        </w:numPr>
        <w:ind w:firstLine="560" w:firstLineChars="200"/>
        <w:rPr>
          <w:rFonts w:ascii="Times New Roman" w:hAnsi="Times New Roman"/>
        </w:rPr>
      </w:pPr>
      <w:r>
        <w:rPr>
          <w:rFonts w:ascii="Times New Roman" w:hAnsi="Times New Roman"/>
        </w:rPr>
        <w:t>16.1.8乙方1出现本合同第7.15.5条款约定的不符合质量和安全要求的；</w:t>
      </w:r>
    </w:p>
    <w:p>
      <w:pPr>
        <w:pStyle w:val="4"/>
        <w:keepNext w:val="0"/>
        <w:numPr>
          <w:ilvl w:val="0"/>
          <w:numId w:val="0"/>
        </w:numPr>
        <w:ind w:firstLine="560" w:firstLineChars="200"/>
        <w:rPr>
          <w:rFonts w:ascii="Times New Roman" w:hAnsi="Times New Roman"/>
        </w:rPr>
      </w:pPr>
      <w:r>
        <w:rPr>
          <w:rFonts w:ascii="Times New Roman" w:hAnsi="Times New Roman"/>
        </w:rPr>
        <w:t>16.1.9乙方1不能清偿到期债务，根据适用法律进行清算或破产的；</w:t>
      </w:r>
      <w:bookmarkStart w:id="285" w:name="page81"/>
      <w:bookmarkEnd w:id="285"/>
    </w:p>
    <w:p>
      <w:pPr>
        <w:pStyle w:val="4"/>
        <w:keepNext w:val="0"/>
        <w:numPr>
          <w:ilvl w:val="0"/>
          <w:numId w:val="0"/>
        </w:numPr>
        <w:ind w:firstLine="560" w:firstLineChars="200"/>
        <w:rPr>
          <w:rFonts w:ascii="Times New Roman" w:hAnsi="Times New Roman"/>
        </w:rPr>
      </w:pPr>
      <w:r>
        <w:rPr>
          <w:rFonts w:ascii="Times New Roman" w:hAnsi="Times New Roman"/>
        </w:rPr>
        <w:t>16.1.10乙方1被吊销企业法人营业执照；</w:t>
      </w:r>
    </w:p>
    <w:p>
      <w:pPr>
        <w:pStyle w:val="4"/>
        <w:keepNext w:val="0"/>
        <w:numPr>
          <w:ilvl w:val="0"/>
          <w:numId w:val="0"/>
        </w:numPr>
        <w:ind w:firstLine="560" w:firstLineChars="200"/>
        <w:rPr>
          <w:rFonts w:ascii="Times New Roman" w:hAnsi="Times New Roman"/>
        </w:rPr>
      </w:pPr>
      <w:r>
        <w:rPr>
          <w:rFonts w:ascii="Times New Roman" w:hAnsi="Times New Roman"/>
        </w:rPr>
        <w:t>16.1.11乙方1擅自转让、出租、质押特许经营权的</w:t>
      </w:r>
      <w:r>
        <w:rPr>
          <w:rFonts w:hint="eastAsia" w:ascii="Times New Roman" w:hAnsi="Times New Roman"/>
        </w:rPr>
        <w:t>收益权的</w:t>
      </w:r>
      <w:r>
        <w:rPr>
          <w:rFonts w:ascii="Times New Roman" w:hAnsi="Times New Roman"/>
        </w:rPr>
        <w:t>（按照本合同乙方1用于融资的特许经营权</w:t>
      </w:r>
      <w:r>
        <w:rPr>
          <w:rFonts w:hint="eastAsia" w:ascii="Times New Roman" w:hAnsi="Times New Roman"/>
        </w:rPr>
        <w:t>的收益权的</w:t>
      </w:r>
      <w:r>
        <w:rPr>
          <w:rFonts w:ascii="Times New Roman" w:hAnsi="Times New Roman"/>
        </w:rPr>
        <w:t>质押除外）；</w:t>
      </w:r>
    </w:p>
    <w:p>
      <w:pPr>
        <w:pStyle w:val="4"/>
        <w:keepNext w:val="0"/>
        <w:numPr>
          <w:ilvl w:val="0"/>
          <w:numId w:val="0"/>
        </w:numPr>
        <w:ind w:firstLine="560" w:firstLineChars="200"/>
        <w:rPr>
          <w:rFonts w:ascii="Times New Roman" w:hAnsi="Times New Roman"/>
        </w:rPr>
      </w:pPr>
      <w:r>
        <w:rPr>
          <w:rFonts w:ascii="Times New Roman" w:hAnsi="Times New Roman"/>
        </w:rPr>
        <w:t>16.1.12乙方1擅自将所经营的本项目财产、资产进行处置或者抵押的；</w:t>
      </w:r>
    </w:p>
    <w:p>
      <w:pPr>
        <w:pStyle w:val="4"/>
        <w:keepNext w:val="0"/>
        <w:numPr>
          <w:ilvl w:val="0"/>
          <w:numId w:val="0"/>
        </w:numPr>
        <w:ind w:firstLine="560" w:firstLineChars="200"/>
        <w:rPr>
          <w:rFonts w:ascii="Times New Roman" w:hAnsi="Times New Roman"/>
        </w:rPr>
      </w:pPr>
      <w:r>
        <w:rPr>
          <w:rFonts w:ascii="Times New Roman" w:hAnsi="Times New Roman"/>
        </w:rPr>
        <w:t>16.1.13未经甲方事先书面同意，乙方1连续五（5）日或任意一个运营年累计十（10）日对项目设施的全部或部分擅自停止通车收费服务（如属紧急情况的除外，但应在发生的同时口头告知甲方，并应在发生后一（1）日内书面报告甲方）；</w:t>
      </w:r>
    </w:p>
    <w:p>
      <w:pPr>
        <w:pStyle w:val="4"/>
        <w:keepNext w:val="0"/>
        <w:numPr>
          <w:ilvl w:val="0"/>
          <w:numId w:val="0"/>
        </w:numPr>
        <w:ind w:firstLine="560" w:firstLineChars="200"/>
        <w:rPr>
          <w:rFonts w:ascii="Times New Roman" w:hAnsi="Times New Roman"/>
        </w:rPr>
      </w:pPr>
      <w:r>
        <w:rPr>
          <w:rFonts w:ascii="Times New Roman" w:hAnsi="Times New Roman"/>
        </w:rPr>
        <w:t>16.1.14乙方1因未对项目设施进行定期维护、更新改造或经营管理不善，发生重大质量、生产安全事故的；</w:t>
      </w:r>
    </w:p>
    <w:p>
      <w:pPr>
        <w:pStyle w:val="4"/>
        <w:keepNext w:val="0"/>
        <w:numPr>
          <w:ilvl w:val="0"/>
          <w:numId w:val="0"/>
        </w:numPr>
        <w:ind w:firstLine="560" w:firstLineChars="200"/>
        <w:rPr>
          <w:rFonts w:ascii="Times New Roman" w:hAnsi="Times New Roman"/>
        </w:rPr>
      </w:pPr>
      <w:r>
        <w:rPr>
          <w:rFonts w:ascii="Times New Roman" w:hAnsi="Times New Roman"/>
        </w:rPr>
        <w:t>16.1.15乙方1未履行本合同规定的义务构成对本合同的实质性违约（上述第16.1.1条款至第16.1.14条款所述情形除外），并且在收到甲方说明其违约并要求补救的书面通知后六十（60）日内仍未能补救该实质性违约。</w:t>
      </w:r>
    </w:p>
    <w:p>
      <w:pPr>
        <w:pStyle w:val="3"/>
        <w:keepNext w:val="0"/>
        <w:keepLines w:val="0"/>
        <w:widowControl w:val="0"/>
        <w:numPr>
          <w:ilvl w:val="0"/>
          <w:numId w:val="0"/>
        </w:numPr>
        <w:rPr>
          <w:rFonts w:ascii="Times New Roman" w:hAnsi="Times New Roman"/>
        </w:rPr>
      </w:pPr>
      <w:bookmarkStart w:id="286" w:name="_Toc482120768"/>
      <w:bookmarkStart w:id="287" w:name="_Toc68593603"/>
      <w:r>
        <w:rPr>
          <w:rFonts w:ascii="Times New Roman" w:hAnsi="Times New Roman"/>
        </w:rPr>
        <w:t>16.2  由乙方1提出的提前终止</w:t>
      </w:r>
      <w:bookmarkEnd w:id="286"/>
      <w:bookmarkEnd w:id="287"/>
    </w:p>
    <w:p>
      <w:pPr>
        <w:pStyle w:val="4"/>
        <w:keepNext w:val="0"/>
        <w:numPr>
          <w:ilvl w:val="0"/>
          <w:numId w:val="0"/>
        </w:numPr>
        <w:ind w:firstLine="560" w:firstLineChars="200"/>
        <w:rPr>
          <w:rFonts w:ascii="Times New Roman" w:hAnsi="Times New Roman"/>
        </w:rPr>
      </w:pPr>
      <w:r>
        <w:rPr>
          <w:rFonts w:ascii="Times New Roman" w:hAnsi="Times New Roman"/>
        </w:rPr>
        <w:t>下述每一条款所述事件，如果不是由于不可抗力或乙方1的违约所致，如果有允许的纠正期限而在该期限内未能纠正，乙方1有权立即发出提前终止意向通知：</w:t>
      </w:r>
    </w:p>
    <w:p>
      <w:pPr>
        <w:pStyle w:val="4"/>
        <w:keepNext w:val="0"/>
        <w:numPr>
          <w:ilvl w:val="0"/>
          <w:numId w:val="0"/>
        </w:numPr>
        <w:ind w:firstLine="560" w:firstLineChars="200"/>
        <w:rPr>
          <w:rFonts w:ascii="Times New Roman" w:hAnsi="Times New Roman"/>
        </w:rPr>
      </w:pPr>
      <w:r>
        <w:rPr>
          <w:rFonts w:ascii="Times New Roman" w:hAnsi="Times New Roman"/>
        </w:rPr>
        <w:t>16.2.1甲方在本合同第3.1条款中的任何声明被证明在做出时在实质方面不属实，使乙方1履行本合同的能力受到严重的不利影响；</w:t>
      </w:r>
    </w:p>
    <w:p>
      <w:pPr>
        <w:pStyle w:val="4"/>
        <w:keepNext w:val="0"/>
        <w:numPr>
          <w:ilvl w:val="0"/>
          <w:numId w:val="0"/>
        </w:numPr>
        <w:ind w:firstLine="560" w:firstLineChars="200"/>
        <w:rPr>
          <w:rFonts w:ascii="Times New Roman" w:hAnsi="Times New Roman"/>
        </w:rPr>
      </w:pPr>
      <w:r>
        <w:rPr>
          <w:rFonts w:ascii="Times New Roman" w:hAnsi="Times New Roman"/>
        </w:rPr>
        <w:t>16.2.2就本合同第18条项下的任何补偿和赔偿，在乙方1提交符合要求的文件并且双方达成一致后报政府部门审批，政府部门在上报后的九十（90）日内不予批准，但甲方另行给予补偿的除外；</w:t>
      </w:r>
    </w:p>
    <w:p>
      <w:pPr>
        <w:pStyle w:val="4"/>
        <w:keepNext w:val="0"/>
        <w:numPr>
          <w:ilvl w:val="0"/>
          <w:numId w:val="0"/>
        </w:numPr>
        <w:ind w:firstLine="560" w:firstLineChars="200"/>
        <w:rPr>
          <w:rFonts w:ascii="Times New Roman" w:hAnsi="Times New Roman"/>
        </w:rPr>
      </w:pPr>
      <w:bookmarkStart w:id="288" w:name="page82"/>
      <w:bookmarkEnd w:id="288"/>
      <w:r>
        <w:rPr>
          <w:rFonts w:ascii="Times New Roman" w:hAnsi="Times New Roman"/>
        </w:rPr>
        <w:t>16.2.3甲方未能有效维护乙方1特许经营权的独占性，对乙方1的特许经营权造成严重妨碍；</w:t>
      </w:r>
    </w:p>
    <w:p>
      <w:pPr>
        <w:pStyle w:val="4"/>
        <w:keepNext w:val="0"/>
        <w:numPr>
          <w:ilvl w:val="0"/>
          <w:numId w:val="0"/>
        </w:numPr>
        <w:ind w:firstLine="560" w:firstLineChars="200"/>
        <w:rPr>
          <w:rFonts w:ascii="Times New Roman" w:hAnsi="Times New Roman"/>
        </w:rPr>
      </w:pPr>
      <w:r>
        <w:rPr>
          <w:rFonts w:ascii="Times New Roman" w:hAnsi="Times New Roman"/>
        </w:rPr>
        <w:t>16.2.4甲方未履行本合同规定的义务构成对本合同的实质性违约（上述第16.2.1条款至第16.2.3条款所述情形除外），并且在收到乙方1说明其违约并要求补救的书面通知后六十（60）日内仍未能补救该实质性违约。</w:t>
      </w:r>
    </w:p>
    <w:p>
      <w:pPr>
        <w:pStyle w:val="3"/>
        <w:keepNext w:val="0"/>
        <w:keepLines w:val="0"/>
        <w:widowControl w:val="0"/>
        <w:numPr>
          <w:ilvl w:val="0"/>
          <w:numId w:val="0"/>
        </w:numPr>
        <w:rPr>
          <w:rFonts w:ascii="Times New Roman" w:hAnsi="Times New Roman"/>
        </w:rPr>
      </w:pPr>
      <w:bookmarkStart w:id="289" w:name="_Toc68593604"/>
      <w:bookmarkStart w:id="290" w:name="_Toc482120769"/>
      <w:r>
        <w:rPr>
          <w:rFonts w:ascii="Times New Roman" w:hAnsi="Times New Roman"/>
        </w:rPr>
        <w:t>16.3  不可抗力导致的提前终止</w:t>
      </w:r>
      <w:bookmarkEnd w:id="289"/>
      <w:bookmarkEnd w:id="290"/>
    </w:p>
    <w:p>
      <w:pPr>
        <w:pStyle w:val="4"/>
        <w:keepNext w:val="0"/>
        <w:numPr>
          <w:ilvl w:val="0"/>
          <w:numId w:val="0"/>
        </w:numPr>
        <w:ind w:firstLine="560" w:firstLineChars="200"/>
        <w:rPr>
          <w:rFonts w:ascii="Times New Roman" w:hAnsi="Times New Roman"/>
        </w:rPr>
      </w:pPr>
      <w:r>
        <w:rPr>
          <w:rFonts w:ascii="Times New Roman" w:hAnsi="Times New Roman"/>
        </w:rPr>
        <w:t>任何一方有权根据本合同第15.6条款有关不可抗力的规定向另一方发出提前终止通知。</w:t>
      </w:r>
    </w:p>
    <w:p>
      <w:pPr>
        <w:pStyle w:val="3"/>
        <w:keepNext w:val="0"/>
        <w:keepLines w:val="0"/>
        <w:widowControl w:val="0"/>
        <w:numPr>
          <w:ilvl w:val="0"/>
          <w:numId w:val="0"/>
        </w:numPr>
        <w:rPr>
          <w:rFonts w:ascii="Times New Roman" w:hAnsi="Times New Roman"/>
        </w:rPr>
      </w:pPr>
      <w:bookmarkStart w:id="291" w:name="_Toc68593605"/>
      <w:r>
        <w:rPr>
          <w:rFonts w:ascii="Times New Roman" w:hAnsi="Times New Roman"/>
        </w:rPr>
        <w:t>16.4  提前终止意向通知</w:t>
      </w:r>
      <w:bookmarkStart w:id="292" w:name="_Toc482120770"/>
      <w:r>
        <w:rPr>
          <w:rFonts w:ascii="Times New Roman" w:hAnsi="Times New Roman"/>
        </w:rPr>
        <w:t>和提前终止通知</w:t>
      </w:r>
      <w:bookmarkEnd w:id="291"/>
      <w:bookmarkEnd w:id="292"/>
    </w:p>
    <w:p>
      <w:pPr>
        <w:pStyle w:val="4"/>
        <w:keepNext w:val="0"/>
        <w:numPr>
          <w:ilvl w:val="0"/>
          <w:numId w:val="0"/>
        </w:numPr>
        <w:ind w:firstLine="560" w:firstLineChars="200"/>
        <w:rPr>
          <w:rFonts w:ascii="Times New Roman" w:hAnsi="Times New Roman"/>
        </w:rPr>
      </w:pPr>
      <w:r>
        <w:rPr>
          <w:rFonts w:ascii="Times New Roman" w:hAnsi="Times New Roman"/>
        </w:rPr>
        <w:t>16.4.1提前终止意向通知</w:t>
      </w:r>
    </w:p>
    <w:p>
      <w:pPr>
        <w:pStyle w:val="4"/>
        <w:keepNext w:val="0"/>
        <w:numPr>
          <w:ilvl w:val="0"/>
          <w:numId w:val="0"/>
        </w:numPr>
        <w:ind w:firstLine="560" w:firstLineChars="200"/>
        <w:rPr>
          <w:rFonts w:ascii="Times New Roman" w:hAnsi="Times New Roman"/>
        </w:rPr>
      </w:pPr>
      <w:r>
        <w:rPr>
          <w:rFonts w:ascii="Times New Roman" w:hAnsi="Times New Roman"/>
        </w:rPr>
        <w:t>按照上述第16.1条款或第16.2条款发出的任何提前终止意向通知应表述引起发出该通知的乙方1违约事件或甲方违约事件的合理详细的情况：</w:t>
      </w:r>
    </w:p>
    <w:p>
      <w:pPr>
        <w:pStyle w:val="4"/>
        <w:keepNext w:val="0"/>
        <w:numPr>
          <w:ilvl w:val="0"/>
          <w:numId w:val="0"/>
        </w:numPr>
        <w:ind w:firstLine="560" w:firstLineChars="200"/>
        <w:rPr>
          <w:rFonts w:ascii="Times New Roman" w:hAnsi="Times New Roman"/>
        </w:rPr>
      </w:pPr>
      <w:r>
        <w:rPr>
          <w:rFonts w:ascii="Times New Roman" w:hAnsi="Times New Roman"/>
        </w:rPr>
        <w:t>（a）在提前终止意向通知发出之后，双方应在二十（20）个工作日之内（下称“协商期”）协商避免本合同终止的措施；</w:t>
      </w:r>
    </w:p>
    <w:p>
      <w:pPr>
        <w:pStyle w:val="4"/>
        <w:keepNext w:val="0"/>
        <w:numPr>
          <w:ilvl w:val="0"/>
          <w:numId w:val="0"/>
        </w:numPr>
        <w:ind w:firstLine="560" w:firstLineChars="200"/>
        <w:rPr>
          <w:rFonts w:ascii="Times New Roman" w:hAnsi="Times New Roman"/>
        </w:rPr>
      </w:pPr>
      <w:r>
        <w:rPr>
          <w:rFonts w:ascii="Times New Roman" w:hAnsi="Times New Roman"/>
        </w:rPr>
        <w:t>（b）如果甲方和乙方1就将要采取的措施在协商期内达成一致意见，并且在规定时限内纠正了违约事件，提前终止意向通知应立即自动失效。</w:t>
      </w:r>
    </w:p>
    <w:p>
      <w:pPr>
        <w:pStyle w:val="4"/>
        <w:keepNext w:val="0"/>
        <w:numPr>
          <w:ilvl w:val="0"/>
          <w:numId w:val="0"/>
        </w:numPr>
        <w:ind w:firstLine="560" w:firstLineChars="200"/>
        <w:rPr>
          <w:rFonts w:ascii="Times New Roman" w:hAnsi="Times New Roman"/>
        </w:rPr>
      </w:pPr>
      <w:r>
        <w:rPr>
          <w:rFonts w:ascii="Times New Roman" w:hAnsi="Times New Roman"/>
        </w:rPr>
        <w:t>16.4.2提前终止通知</w:t>
      </w:r>
    </w:p>
    <w:p>
      <w:pPr>
        <w:pStyle w:val="4"/>
        <w:keepNext w:val="0"/>
        <w:numPr>
          <w:ilvl w:val="0"/>
          <w:numId w:val="0"/>
        </w:numPr>
        <w:ind w:firstLine="560" w:firstLineChars="200"/>
        <w:rPr>
          <w:rFonts w:ascii="Times New Roman" w:hAnsi="Times New Roman"/>
        </w:rPr>
      </w:pPr>
      <w:r>
        <w:rPr>
          <w:rFonts w:ascii="Times New Roman" w:hAnsi="Times New Roman"/>
        </w:rPr>
        <w:t>在协商期之后，除非：</w:t>
      </w:r>
    </w:p>
    <w:p>
      <w:pPr>
        <w:pStyle w:val="4"/>
        <w:keepNext w:val="0"/>
        <w:numPr>
          <w:ilvl w:val="0"/>
          <w:numId w:val="0"/>
        </w:numPr>
        <w:ind w:firstLine="560" w:firstLineChars="200"/>
        <w:rPr>
          <w:rFonts w:ascii="Times New Roman" w:hAnsi="Times New Roman"/>
        </w:rPr>
      </w:pPr>
      <w:bookmarkStart w:id="293" w:name="page83"/>
      <w:bookmarkEnd w:id="293"/>
      <w:r>
        <w:rPr>
          <w:rFonts w:ascii="Times New Roman" w:hAnsi="Times New Roman"/>
        </w:rPr>
        <w:t>（a）双方另外达成一致；并且</w:t>
      </w:r>
    </w:p>
    <w:p>
      <w:pPr>
        <w:pStyle w:val="4"/>
        <w:keepNext w:val="0"/>
        <w:numPr>
          <w:ilvl w:val="0"/>
          <w:numId w:val="0"/>
        </w:numPr>
        <w:ind w:firstLine="560" w:firstLineChars="200"/>
        <w:rPr>
          <w:rFonts w:ascii="Times New Roman" w:hAnsi="Times New Roman"/>
        </w:rPr>
      </w:pPr>
      <w:r>
        <w:rPr>
          <w:rFonts w:ascii="Times New Roman" w:hAnsi="Times New Roman"/>
        </w:rPr>
        <w:t>（b）导致发出提前终止意向通知的违约事件得到纠正。</w:t>
      </w:r>
    </w:p>
    <w:p>
      <w:pPr>
        <w:pStyle w:val="4"/>
        <w:keepNext w:val="0"/>
        <w:numPr>
          <w:ilvl w:val="0"/>
          <w:numId w:val="0"/>
        </w:numPr>
        <w:ind w:firstLine="560" w:firstLineChars="200"/>
        <w:rPr>
          <w:rFonts w:ascii="Times New Roman" w:hAnsi="Times New Roman"/>
        </w:rPr>
      </w:pPr>
      <w:r>
        <w:rPr>
          <w:rFonts w:ascii="Times New Roman" w:hAnsi="Times New Roman"/>
        </w:rPr>
        <w:t>发出提前终止意向通知的一方有权发出提前终止通知，另一方收到提前终止通知后的次日即为提前移交日（下称“提前移交日”）。</w:t>
      </w:r>
    </w:p>
    <w:p>
      <w:pPr>
        <w:pStyle w:val="3"/>
        <w:keepNext w:val="0"/>
        <w:keepLines w:val="0"/>
        <w:widowControl w:val="0"/>
        <w:numPr>
          <w:ilvl w:val="0"/>
          <w:numId w:val="0"/>
        </w:numPr>
        <w:rPr>
          <w:rFonts w:ascii="Times New Roman" w:hAnsi="Times New Roman"/>
        </w:rPr>
      </w:pPr>
      <w:bookmarkStart w:id="294" w:name="_Toc482120771"/>
      <w:bookmarkStart w:id="295" w:name="_Toc68593606"/>
      <w:r>
        <w:rPr>
          <w:rFonts w:ascii="Times New Roman" w:hAnsi="Times New Roman"/>
        </w:rPr>
        <w:t>16.5  提前终止的一般后果</w:t>
      </w:r>
      <w:bookmarkEnd w:id="294"/>
      <w:bookmarkEnd w:id="295"/>
    </w:p>
    <w:p>
      <w:pPr>
        <w:pStyle w:val="4"/>
        <w:keepNext w:val="0"/>
        <w:numPr>
          <w:ilvl w:val="0"/>
          <w:numId w:val="0"/>
        </w:numPr>
        <w:ind w:firstLine="560" w:firstLineChars="200"/>
        <w:rPr>
          <w:rFonts w:ascii="Times New Roman" w:hAnsi="Times New Roman"/>
        </w:rPr>
      </w:pPr>
      <w:r>
        <w:rPr>
          <w:rFonts w:ascii="Times New Roman" w:hAnsi="Times New Roman"/>
        </w:rPr>
        <w:t>16.5.1自任何一方发出提前终止意向通知起，至提前移交日前一（1）日，双方应继续履行本合同的权利和义务；</w:t>
      </w:r>
    </w:p>
    <w:p>
      <w:pPr>
        <w:pStyle w:val="4"/>
        <w:keepNext w:val="0"/>
        <w:numPr>
          <w:ilvl w:val="0"/>
          <w:numId w:val="0"/>
        </w:numPr>
        <w:ind w:firstLine="560" w:firstLineChars="200"/>
        <w:rPr>
          <w:rFonts w:ascii="Times New Roman" w:hAnsi="Times New Roman"/>
        </w:rPr>
      </w:pPr>
      <w:r>
        <w:rPr>
          <w:rFonts w:ascii="Times New Roman" w:hAnsi="Times New Roman"/>
        </w:rPr>
        <w:t>16.5.2自提前移交日起，甲方收回项目特许经营权，并按照本合同第16.6款与乙方1进行提前移交；</w:t>
      </w:r>
    </w:p>
    <w:p>
      <w:pPr>
        <w:pStyle w:val="4"/>
        <w:keepNext w:val="0"/>
        <w:numPr>
          <w:ilvl w:val="0"/>
          <w:numId w:val="0"/>
        </w:numPr>
        <w:ind w:firstLine="560" w:firstLineChars="200"/>
        <w:rPr>
          <w:rFonts w:ascii="Times New Roman" w:hAnsi="Times New Roman"/>
        </w:rPr>
      </w:pPr>
      <w:r>
        <w:rPr>
          <w:rFonts w:ascii="Times New Roman" w:hAnsi="Times New Roman"/>
        </w:rPr>
        <w:t>16.5.3自提前移交日起，双方在本合同项下未履行完毕的其他权利和义务应当继续履行，包括根据本合同第16.7条款可能到期应付的任何款项；本合同的提前终止不影响本合同中争议解决条款和任何在本合同终止后仍然有效的其他条款的效力。</w:t>
      </w:r>
    </w:p>
    <w:p>
      <w:pPr>
        <w:pStyle w:val="3"/>
        <w:keepNext w:val="0"/>
        <w:keepLines w:val="0"/>
        <w:widowControl w:val="0"/>
        <w:numPr>
          <w:ilvl w:val="0"/>
          <w:numId w:val="0"/>
        </w:numPr>
        <w:rPr>
          <w:rFonts w:ascii="Times New Roman" w:hAnsi="Times New Roman"/>
        </w:rPr>
      </w:pPr>
      <w:bookmarkStart w:id="296" w:name="_Toc68593607"/>
      <w:bookmarkStart w:id="297" w:name="_Toc482120772"/>
      <w:r>
        <w:rPr>
          <w:rFonts w:ascii="Times New Roman" w:hAnsi="Times New Roman"/>
        </w:rPr>
        <w:t>16.6  提前终止后的提前移交</w:t>
      </w:r>
      <w:bookmarkEnd w:id="296"/>
      <w:bookmarkEnd w:id="297"/>
    </w:p>
    <w:p>
      <w:pPr>
        <w:pStyle w:val="4"/>
        <w:keepNext w:val="0"/>
        <w:numPr>
          <w:ilvl w:val="0"/>
          <w:numId w:val="0"/>
        </w:numPr>
        <w:ind w:firstLine="560" w:firstLineChars="200"/>
        <w:rPr>
          <w:rFonts w:ascii="Times New Roman" w:hAnsi="Times New Roman"/>
        </w:rPr>
      </w:pPr>
      <w:r>
        <w:rPr>
          <w:rFonts w:ascii="Times New Roman" w:hAnsi="Times New Roman"/>
        </w:rPr>
        <w:t>16.6.1移交范围</w:t>
      </w:r>
    </w:p>
    <w:p>
      <w:pPr>
        <w:pStyle w:val="4"/>
        <w:keepNext w:val="0"/>
        <w:numPr>
          <w:ilvl w:val="0"/>
          <w:numId w:val="0"/>
        </w:numPr>
        <w:ind w:firstLine="560" w:firstLineChars="200"/>
        <w:rPr>
          <w:rFonts w:ascii="Times New Roman" w:hAnsi="Times New Roman"/>
        </w:rPr>
      </w:pPr>
      <w:r>
        <w:rPr>
          <w:rFonts w:ascii="Times New Roman" w:hAnsi="Times New Roman"/>
        </w:rPr>
        <w:t>（a）本合同任何一方根据本合同第16.1条款或第16.2条款的规定发出提前终止通知后，乙方1应根据本合同第16.6.2条款规定的程序向甲方提前移交按照本合同第14.2条款要求的项目设施、相关文件资料和与项目设施相关的所有权利和权益；</w:t>
      </w:r>
    </w:p>
    <w:p>
      <w:pPr>
        <w:pStyle w:val="4"/>
        <w:keepNext w:val="0"/>
        <w:numPr>
          <w:ilvl w:val="0"/>
          <w:numId w:val="0"/>
        </w:numPr>
        <w:ind w:firstLine="560" w:firstLineChars="200"/>
        <w:rPr>
          <w:rFonts w:ascii="Times New Roman" w:hAnsi="Times New Roman"/>
        </w:rPr>
      </w:pPr>
      <w:bookmarkStart w:id="298" w:name="page84"/>
      <w:bookmarkEnd w:id="298"/>
      <w:r>
        <w:rPr>
          <w:rFonts w:ascii="Times New Roman" w:hAnsi="Times New Roman"/>
        </w:rPr>
        <w:t>（b）如根据本合同第16.3条款因不可抗力导致本合同提前终止，则本合同第14.2条款中所列的各项应按照在提前终止通知发出时的状态被移交。</w:t>
      </w:r>
    </w:p>
    <w:p>
      <w:pPr>
        <w:pStyle w:val="4"/>
        <w:keepNext w:val="0"/>
        <w:numPr>
          <w:ilvl w:val="0"/>
          <w:numId w:val="0"/>
        </w:numPr>
        <w:ind w:firstLine="560" w:firstLineChars="200"/>
        <w:rPr>
          <w:rFonts w:ascii="Times New Roman" w:hAnsi="Times New Roman"/>
        </w:rPr>
      </w:pPr>
      <w:r>
        <w:rPr>
          <w:rFonts w:ascii="Times New Roman" w:hAnsi="Times New Roman"/>
        </w:rPr>
        <w:t>16.6.2移交程序</w:t>
      </w:r>
    </w:p>
    <w:p>
      <w:pPr>
        <w:pStyle w:val="4"/>
        <w:keepNext w:val="0"/>
        <w:numPr>
          <w:ilvl w:val="0"/>
          <w:numId w:val="0"/>
        </w:numPr>
        <w:ind w:firstLine="560" w:firstLineChars="200"/>
        <w:rPr>
          <w:rFonts w:ascii="Times New Roman" w:hAnsi="Times New Roman"/>
        </w:rPr>
      </w:pPr>
      <w:r>
        <w:rPr>
          <w:rFonts w:ascii="Times New Roman" w:hAnsi="Times New Roman"/>
        </w:rPr>
        <w:t>（a）自提前移交日，乙方1对项目设施的所有权益全部转移给甲方，甲方收回乙方1的特许经营权；</w:t>
      </w:r>
    </w:p>
    <w:p>
      <w:pPr>
        <w:pStyle w:val="4"/>
        <w:keepNext w:val="0"/>
        <w:numPr>
          <w:ilvl w:val="0"/>
          <w:numId w:val="0"/>
        </w:numPr>
        <w:ind w:firstLine="560" w:firstLineChars="200"/>
        <w:rPr>
          <w:rFonts w:ascii="Times New Roman" w:hAnsi="Times New Roman"/>
        </w:rPr>
      </w:pPr>
      <w:r>
        <w:rPr>
          <w:rFonts w:ascii="Times New Roman" w:hAnsi="Times New Roman"/>
        </w:rPr>
        <w:t>（b）双方于提前移交日后三十（30）日内按本合同第16.7条款确定补偿金额，甲方应在确定补偿金额后一百二十（120）日内或办理完毕全部法定手续的次日（取二者中较早者）支付全部补偿。</w:t>
      </w:r>
    </w:p>
    <w:p>
      <w:pPr>
        <w:pStyle w:val="3"/>
        <w:keepNext w:val="0"/>
        <w:keepLines w:val="0"/>
        <w:widowControl w:val="0"/>
        <w:numPr>
          <w:ilvl w:val="0"/>
          <w:numId w:val="0"/>
        </w:numPr>
        <w:rPr>
          <w:rFonts w:ascii="Times New Roman" w:hAnsi="Times New Roman"/>
        </w:rPr>
      </w:pPr>
      <w:bookmarkStart w:id="299" w:name="_Toc68593608"/>
      <w:bookmarkStart w:id="300" w:name="_Toc482120773"/>
      <w:r>
        <w:rPr>
          <w:rFonts w:ascii="Times New Roman" w:hAnsi="Times New Roman"/>
        </w:rPr>
        <w:t>16.7  提前终止后的补偿</w:t>
      </w:r>
      <w:bookmarkEnd w:id="299"/>
      <w:bookmarkEnd w:id="300"/>
    </w:p>
    <w:p>
      <w:pPr>
        <w:pStyle w:val="4"/>
        <w:keepNext w:val="0"/>
        <w:numPr>
          <w:ilvl w:val="0"/>
          <w:numId w:val="0"/>
        </w:numPr>
        <w:ind w:firstLine="560" w:firstLineChars="200"/>
        <w:rPr>
          <w:rFonts w:ascii="Times New Roman" w:hAnsi="Times New Roman"/>
        </w:rPr>
      </w:pPr>
      <w:r>
        <w:rPr>
          <w:rFonts w:ascii="Times New Roman" w:hAnsi="Times New Roman"/>
        </w:rPr>
        <w:t>16.7.1自然终止、协商终止或特许经营权终止的补偿</w:t>
      </w:r>
    </w:p>
    <w:p>
      <w:pPr>
        <w:pStyle w:val="4"/>
        <w:keepNext w:val="0"/>
        <w:numPr>
          <w:ilvl w:val="0"/>
          <w:numId w:val="0"/>
        </w:numPr>
        <w:ind w:firstLine="560" w:firstLineChars="200"/>
        <w:rPr>
          <w:rFonts w:ascii="Times New Roman" w:hAnsi="Times New Roman"/>
        </w:rPr>
      </w:pPr>
      <w:r>
        <w:rPr>
          <w:rFonts w:ascii="Times New Roman" w:hAnsi="Times New Roman"/>
        </w:rPr>
        <w:t>若本合同</w:t>
      </w:r>
      <w:r>
        <w:rPr>
          <w:rFonts w:hint="eastAsia" w:ascii="Times New Roman" w:hAnsi="Times New Roman"/>
        </w:rPr>
        <w:t>依据</w:t>
      </w:r>
      <w:r>
        <w:rPr>
          <w:rFonts w:ascii="Times New Roman" w:hAnsi="Times New Roman"/>
        </w:rPr>
        <w:t>第16条提前终止，甲方应根据下表的规定对乙方1进行补偿。</w:t>
      </w:r>
    </w:p>
    <w:tbl>
      <w:tblPr>
        <w:tblStyle w:val="3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82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75" w:type="dxa"/>
            <w:vAlign w:val="center"/>
          </w:tcPr>
          <w:p>
            <w:pPr>
              <w:jc w:val="center"/>
              <w:rPr>
                <w:rFonts w:ascii="Times New Roman" w:hAnsi="Times New Roman"/>
                <w:b/>
                <w:sz w:val="24"/>
                <w:szCs w:val="24"/>
              </w:rPr>
            </w:pPr>
            <w:r>
              <w:rPr>
                <w:rFonts w:ascii="Times New Roman" w:hAnsi="Times New Roman"/>
                <w:b/>
                <w:sz w:val="24"/>
                <w:szCs w:val="24"/>
              </w:rPr>
              <w:t>条款号</w:t>
            </w:r>
          </w:p>
        </w:tc>
        <w:tc>
          <w:tcPr>
            <w:tcW w:w="3828" w:type="dxa"/>
            <w:vAlign w:val="center"/>
          </w:tcPr>
          <w:p>
            <w:pPr>
              <w:spacing w:line="320" w:lineRule="exact"/>
              <w:jc w:val="center"/>
              <w:rPr>
                <w:rFonts w:ascii="Times New Roman" w:hAnsi="Times New Roman"/>
                <w:b/>
                <w:sz w:val="24"/>
                <w:szCs w:val="24"/>
              </w:rPr>
            </w:pPr>
            <w:r>
              <w:rPr>
                <w:rFonts w:ascii="Times New Roman" w:hAnsi="Times New Roman"/>
                <w:b/>
                <w:sz w:val="24"/>
                <w:szCs w:val="24"/>
              </w:rPr>
              <w:t>本合同提前终止之情形</w:t>
            </w:r>
          </w:p>
        </w:tc>
        <w:tc>
          <w:tcPr>
            <w:tcW w:w="2693" w:type="dxa"/>
            <w:vAlign w:val="center"/>
          </w:tcPr>
          <w:p>
            <w:pPr>
              <w:jc w:val="center"/>
              <w:rPr>
                <w:rFonts w:ascii="Times New Roman" w:hAnsi="Times New Roman"/>
                <w:b/>
                <w:sz w:val="24"/>
                <w:szCs w:val="24"/>
              </w:rPr>
            </w:pPr>
            <w:r>
              <w:rPr>
                <w:rFonts w:ascii="Times New Roman" w:hAnsi="Times New Roman"/>
                <w:b/>
                <w:sz w:val="24"/>
                <w:szCs w:val="24"/>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75" w:type="dxa"/>
            <w:vAlign w:val="center"/>
          </w:tcPr>
          <w:p>
            <w:pPr>
              <w:jc w:val="center"/>
              <w:rPr>
                <w:rFonts w:ascii="Times New Roman" w:hAnsi="Times New Roman"/>
                <w:sz w:val="24"/>
                <w:szCs w:val="24"/>
              </w:rPr>
            </w:pPr>
            <w:r>
              <w:rPr>
                <w:rFonts w:ascii="Times New Roman" w:hAnsi="Times New Roman"/>
                <w:sz w:val="24"/>
                <w:szCs w:val="24"/>
              </w:rPr>
              <w:t>1</w:t>
            </w:r>
          </w:p>
        </w:tc>
        <w:tc>
          <w:tcPr>
            <w:tcW w:w="3828" w:type="dxa"/>
            <w:vAlign w:val="center"/>
          </w:tcPr>
          <w:p>
            <w:pPr>
              <w:jc w:val="center"/>
              <w:rPr>
                <w:rFonts w:ascii="Times New Roman" w:hAnsi="Times New Roman"/>
                <w:sz w:val="24"/>
                <w:szCs w:val="24"/>
              </w:rPr>
            </w:pPr>
            <w:r>
              <w:rPr>
                <w:rFonts w:ascii="Times New Roman" w:hAnsi="Times New Roman"/>
                <w:sz w:val="24"/>
                <w:szCs w:val="24"/>
              </w:rPr>
              <w:t>乙方1违约</w:t>
            </w:r>
          </w:p>
          <w:p>
            <w:pPr>
              <w:jc w:val="center"/>
              <w:rPr>
                <w:rFonts w:ascii="Times New Roman" w:hAnsi="Times New Roman"/>
                <w:sz w:val="24"/>
                <w:szCs w:val="24"/>
              </w:rPr>
            </w:pPr>
            <w:r>
              <w:rPr>
                <w:rFonts w:ascii="Times New Roman" w:hAnsi="Times New Roman"/>
                <w:sz w:val="24"/>
                <w:szCs w:val="24"/>
              </w:rPr>
              <w:t>（依据16.1条款发出的终止）</w:t>
            </w:r>
          </w:p>
        </w:tc>
        <w:tc>
          <w:tcPr>
            <w:tcW w:w="2693" w:type="dxa"/>
            <w:vAlign w:val="center"/>
          </w:tcPr>
          <w:p>
            <w:pPr>
              <w:jc w:val="center"/>
              <w:rPr>
                <w:rFonts w:ascii="Times New Roman" w:hAnsi="Times New Roman"/>
                <w:sz w:val="24"/>
                <w:szCs w:val="24"/>
              </w:rPr>
            </w:pPr>
            <w:r>
              <w:rPr>
                <w:rFonts w:ascii="Times New Roman" w:hAnsi="Times New Roman"/>
                <w:sz w:val="24"/>
                <w:szCs w:val="24"/>
              </w:rPr>
              <w:t>50%A-B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75" w:type="dxa"/>
            <w:vAlign w:val="center"/>
          </w:tcPr>
          <w:p>
            <w:pPr>
              <w:jc w:val="center"/>
              <w:rPr>
                <w:rFonts w:ascii="Times New Roman" w:hAnsi="Times New Roman"/>
                <w:sz w:val="24"/>
                <w:szCs w:val="24"/>
              </w:rPr>
            </w:pPr>
            <w:r>
              <w:rPr>
                <w:rFonts w:ascii="Times New Roman" w:hAnsi="Times New Roman"/>
                <w:sz w:val="24"/>
                <w:szCs w:val="24"/>
              </w:rPr>
              <w:t>2</w:t>
            </w:r>
          </w:p>
        </w:tc>
        <w:tc>
          <w:tcPr>
            <w:tcW w:w="3828" w:type="dxa"/>
            <w:vAlign w:val="center"/>
          </w:tcPr>
          <w:p>
            <w:pPr>
              <w:jc w:val="center"/>
              <w:rPr>
                <w:rFonts w:ascii="Times New Roman" w:hAnsi="Times New Roman"/>
                <w:sz w:val="24"/>
                <w:szCs w:val="24"/>
              </w:rPr>
            </w:pPr>
            <w:r>
              <w:rPr>
                <w:rFonts w:ascii="Times New Roman" w:hAnsi="Times New Roman"/>
                <w:sz w:val="24"/>
                <w:szCs w:val="24"/>
              </w:rPr>
              <w:t>甲方违约</w:t>
            </w:r>
          </w:p>
          <w:p>
            <w:pPr>
              <w:jc w:val="center"/>
              <w:rPr>
                <w:rFonts w:ascii="Times New Roman" w:hAnsi="Times New Roman"/>
                <w:sz w:val="24"/>
                <w:szCs w:val="24"/>
              </w:rPr>
            </w:pPr>
            <w:r>
              <w:rPr>
                <w:rFonts w:ascii="Times New Roman" w:hAnsi="Times New Roman"/>
                <w:sz w:val="24"/>
                <w:szCs w:val="24"/>
              </w:rPr>
              <w:t>（依据16.2条款发出的终止）</w:t>
            </w:r>
          </w:p>
        </w:tc>
        <w:tc>
          <w:tcPr>
            <w:tcW w:w="2693" w:type="dxa"/>
            <w:vAlign w:val="center"/>
          </w:tcPr>
          <w:p>
            <w:pPr>
              <w:jc w:val="center"/>
              <w:rPr>
                <w:rFonts w:ascii="Times New Roman" w:hAnsi="Times New Roman"/>
                <w:sz w:val="24"/>
                <w:szCs w:val="24"/>
              </w:rPr>
            </w:pPr>
            <w:r>
              <w:rPr>
                <w:rFonts w:ascii="Times New Roman" w:hAnsi="Times New Roman"/>
                <w:sz w:val="24"/>
                <w:szCs w:val="24"/>
              </w:rPr>
              <w:t>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75" w:type="dxa"/>
            <w:vAlign w:val="center"/>
          </w:tcPr>
          <w:p>
            <w:pPr>
              <w:jc w:val="center"/>
              <w:rPr>
                <w:rFonts w:ascii="Times New Roman" w:hAnsi="Times New Roman"/>
                <w:sz w:val="24"/>
                <w:szCs w:val="24"/>
              </w:rPr>
            </w:pPr>
            <w:r>
              <w:rPr>
                <w:rFonts w:ascii="Times New Roman" w:hAnsi="Times New Roman"/>
                <w:sz w:val="24"/>
                <w:szCs w:val="24"/>
              </w:rPr>
              <w:t>3</w:t>
            </w:r>
          </w:p>
        </w:tc>
        <w:tc>
          <w:tcPr>
            <w:tcW w:w="3828" w:type="dxa"/>
            <w:vAlign w:val="center"/>
          </w:tcPr>
          <w:p>
            <w:pPr>
              <w:jc w:val="center"/>
              <w:rPr>
                <w:rFonts w:ascii="Times New Roman" w:hAnsi="Times New Roman"/>
                <w:sz w:val="24"/>
                <w:szCs w:val="24"/>
              </w:rPr>
            </w:pPr>
            <w:r>
              <w:rPr>
                <w:rFonts w:ascii="Times New Roman" w:hAnsi="Times New Roman"/>
                <w:sz w:val="24"/>
                <w:szCs w:val="24"/>
              </w:rPr>
              <w:t>重大法律变更或政府行为</w:t>
            </w:r>
          </w:p>
          <w:p>
            <w:pPr>
              <w:jc w:val="center"/>
              <w:rPr>
                <w:rFonts w:ascii="Times New Roman" w:hAnsi="Times New Roman"/>
                <w:sz w:val="24"/>
                <w:szCs w:val="24"/>
              </w:rPr>
            </w:pPr>
            <w:r>
              <w:rPr>
                <w:rFonts w:ascii="Times New Roman" w:hAnsi="Times New Roman"/>
                <w:sz w:val="24"/>
                <w:szCs w:val="24"/>
              </w:rPr>
              <w:t>（依据15.1.2（e）（f）条款发出的终止）</w:t>
            </w:r>
          </w:p>
        </w:tc>
        <w:tc>
          <w:tcPr>
            <w:tcW w:w="2693" w:type="dxa"/>
            <w:vAlign w:val="center"/>
          </w:tcPr>
          <w:p>
            <w:pPr>
              <w:jc w:val="center"/>
              <w:rPr>
                <w:rFonts w:ascii="Times New Roman" w:hAnsi="Times New Roman"/>
                <w:sz w:val="24"/>
                <w:szCs w:val="24"/>
              </w:rPr>
            </w:pPr>
            <w:r>
              <w:rPr>
                <w:rFonts w:ascii="Times New Roman" w:hAnsi="Times New Roman"/>
                <w:sz w:val="24"/>
                <w:szCs w:val="24"/>
              </w:rPr>
              <w:t>A+35%B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75" w:type="dxa"/>
            <w:vAlign w:val="center"/>
          </w:tcPr>
          <w:p>
            <w:pPr>
              <w:jc w:val="center"/>
              <w:rPr>
                <w:rFonts w:ascii="Times New Roman" w:hAnsi="Times New Roman"/>
                <w:sz w:val="24"/>
                <w:szCs w:val="24"/>
              </w:rPr>
            </w:pPr>
            <w:r>
              <w:rPr>
                <w:rFonts w:ascii="Times New Roman" w:hAnsi="Times New Roman"/>
                <w:sz w:val="24"/>
                <w:szCs w:val="24"/>
              </w:rPr>
              <w:t>4</w:t>
            </w:r>
          </w:p>
        </w:tc>
        <w:tc>
          <w:tcPr>
            <w:tcW w:w="3828" w:type="dxa"/>
            <w:vAlign w:val="center"/>
          </w:tcPr>
          <w:p>
            <w:pPr>
              <w:jc w:val="center"/>
              <w:rPr>
                <w:rFonts w:ascii="Times New Roman" w:hAnsi="Times New Roman"/>
                <w:sz w:val="24"/>
                <w:szCs w:val="24"/>
              </w:rPr>
            </w:pPr>
            <w:r>
              <w:rPr>
                <w:rFonts w:ascii="Times New Roman" w:hAnsi="Times New Roman"/>
                <w:sz w:val="24"/>
                <w:szCs w:val="24"/>
              </w:rPr>
              <w:t>其他不可抗力造成的终止（依据15.1.2（a）-（d））条款发出的终止</w:t>
            </w:r>
          </w:p>
        </w:tc>
        <w:tc>
          <w:tcPr>
            <w:tcW w:w="2693" w:type="dxa"/>
            <w:vAlign w:val="center"/>
          </w:tcPr>
          <w:p>
            <w:pPr>
              <w:jc w:val="center"/>
              <w:rPr>
                <w:rFonts w:ascii="Times New Roman" w:hAnsi="Times New Roman"/>
                <w:sz w:val="24"/>
                <w:szCs w:val="24"/>
              </w:rPr>
            </w:pPr>
            <w:r>
              <w:rPr>
                <w:rFonts w:ascii="Times New Roman" w:hAnsi="Times New Roman"/>
                <w:sz w:val="24"/>
                <w:szCs w:val="24"/>
              </w:rPr>
              <w:t>（A-C）/2-D</w:t>
            </w:r>
          </w:p>
        </w:tc>
      </w:tr>
    </w:tbl>
    <w:p>
      <w:pPr>
        <w:pStyle w:val="4"/>
        <w:keepNext w:val="0"/>
        <w:numPr>
          <w:ilvl w:val="0"/>
          <w:numId w:val="0"/>
        </w:numPr>
        <w:ind w:left="560"/>
        <w:rPr>
          <w:rFonts w:ascii="Times New Roman" w:hAnsi="Times New Roman"/>
        </w:rPr>
      </w:pPr>
      <w:r>
        <w:rPr>
          <w:rFonts w:ascii="Times New Roman" w:hAnsi="Times New Roman"/>
        </w:rPr>
        <w:t>其中：</w:t>
      </w:r>
    </w:p>
    <w:tbl>
      <w:tblPr>
        <w:tblStyle w:val="33"/>
        <w:tblW w:w="7796" w:type="dxa"/>
        <w:tblInd w:w="534" w:type="dxa"/>
        <w:tblLayout w:type="autofit"/>
        <w:tblCellMar>
          <w:top w:w="0" w:type="dxa"/>
          <w:left w:w="108" w:type="dxa"/>
          <w:bottom w:w="0" w:type="dxa"/>
          <w:right w:w="108" w:type="dxa"/>
        </w:tblCellMar>
      </w:tblPr>
      <w:tblGrid>
        <w:gridCol w:w="992"/>
        <w:gridCol w:w="6804"/>
      </w:tblGrid>
      <w:tr>
        <w:tblPrEx>
          <w:tblCellMar>
            <w:top w:w="0" w:type="dxa"/>
            <w:left w:w="108" w:type="dxa"/>
            <w:bottom w:w="0" w:type="dxa"/>
            <w:right w:w="108" w:type="dxa"/>
          </w:tblCellMar>
        </w:tblPrEx>
        <w:trPr>
          <w:trHeight w:val="510" w:hRule="atLeast"/>
          <w:tblHead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kern w:val="0"/>
                <w:sz w:val="24"/>
                <w:szCs w:val="24"/>
              </w:rPr>
            </w:pPr>
            <w:r>
              <w:rPr>
                <w:rFonts w:ascii="Times New Roman" w:hAnsi="Times New Roman"/>
                <w:b/>
                <w:bCs/>
                <w:kern w:val="0"/>
                <w:sz w:val="24"/>
                <w:szCs w:val="24"/>
              </w:rPr>
              <w:t>标注</w:t>
            </w:r>
          </w:p>
        </w:tc>
        <w:tc>
          <w:tcPr>
            <w:tcW w:w="6804"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bCs/>
                <w:kern w:val="0"/>
                <w:sz w:val="24"/>
                <w:szCs w:val="24"/>
              </w:rPr>
            </w:pPr>
            <w:r>
              <w:rPr>
                <w:rFonts w:ascii="Times New Roman" w:hAnsi="Times New Roman"/>
                <w:b/>
                <w:bCs/>
                <w:kern w:val="0"/>
                <w:sz w:val="24"/>
                <w:szCs w:val="24"/>
              </w:rPr>
              <w:t>释义</w:t>
            </w:r>
          </w:p>
        </w:tc>
      </w:tr>
      <w:tr>
        <w:tblPrEx>
          <w:tblCellMar>
            <w:top w:w="0" w:type="dxa"/>
            <w:left w:w="108" w:type="dxa"/>
            <w:bottom w:w="0" w:type="dxa"/>
            <w:right w:w="108" w:type="dxa"/>
          </w:tblCellMar>
        </w:tblPrEx>
        <w:trPr>
          <w:trHeight w:val="1041" w:hRule="atLeast"/>
        </w:trPr>
        <w:tc>
          <w:tcPr>
            <w:tcW w:w="992" w:type="dxa"/>
            <w:tcBorders>
              <w:top w:val="nil"/>
              <w:left w:val="single" w:color="auto" w:sz="4" w:space="0"/>
              <w:bottom w:val="single" w:color="auto" w:sz="4" w:space="0"/>
              <w:right w:val="single" w:color="auto" w:sz="4" w:space="0"/>
            </w:tcBorders>
            <w:vAlign w:val="center"/>
          </w:tcPr>
          <w:p>
            <w:pPr>
              <w:jc w:val="center"/>
              <w:rPr>
                <w:rFonts w:ascii="Times New Roman" w:hAnsi="Times New Roman"/>
                <w:b/>
                <w:bCs/>
                <w:kern w:val="0"/>
                <w:sz w:val="24"/>
                <w:szCs w:val="24"/>
              </w:rPr>
            </w:pPr>
            <w:r>
              <w:rPr>
                <w:rFonts w:ascii="Times New Roman" w:hAnsi="Times New Roman"/>
                <w:b/>
                <w:bCs/>
                <w:kern w:val="0"/>
                <w:sz w:val="24"/>
                <w:szCs w:val="24"/>
              </w:rPr>
              <w:t>A</w:t>
            </w:r>
          </w:p>
        </w:tc>
        <w:tc>
          <w:tcPr>
            <w:tcW w:w="6804" w:type="dxa"/>
            <w:tcBorders>
              <w:top w:val="nil"/>
              <w:left w:val="nil"/>
              <w:bottom w:val="single" w:color="auto" w:sz="4" w:space="0"/>
              <w:right w:val="single" w:color="auto" w:sz="4" w:space="0"/>
            </w:tcBorders>
            <w:vAlign w:val="center"/>
          </w:tcPr>
          <w:p>
            <w:pPr>
              <w:rPr>
                <w:rFonts w:ascii="Times New Roman" w:hAnsi="Times New Roman"/>
                <w:kern w:val="0"/>
                <w:sz w:val="24"/>
                <w:szCs w:val="24"/>
              </w:rPr>
            </w:pPr>
            <w:r>
              <w:rPr>
                <w:rFonts w:ascii="Times New Roman" w:hAnsi="Times New Roman"/>
                <w:kern w:val="0"/>
                <w:sz w:val="24"/>
                <w:szCs w:val="24"/>
              </w:rPr>
              <w:t>建设期为经审计的乙方1实际发生的有关本项目的投资支出；运营期为经评估乙方1尚未收回的建设成本（含资金成本，其中资本金部分按照6%计算资金成本）。</w:t>
            </w:r>
          </w:p>
          <w:p>
            <w:pPr>
              <w:rPr>
                <w:rFonts w:ascii="Times New Roman" w:hAnsi="Times New Roman"/>
                <w:kern w:val="0"/>
                <w:sz w:val="24"/>
                <w:szCs w:val="24"/>
              </w:rPr>
            </w:pPr>
            <w:r>
              <w:rPr>
                <w:rFonts w:ascii="Times New Roman" w:hAnsi="Times New Roman"/>
                <w:kern w:val="0"/>
                <w:sz w:val="24"/>
                <w:szCs w:val="24"/>
              </w:rPr>
              <w:t>当非</w:t>
            </w:r>
            <w:r>
              <w:rPr>
                <w:rFonts w:ascii="Times New Roman" w:hAnsi="Times New Roman"/>
                <w:sz w:val="24"/>
                <w:szCs w:val="24"/>
              </w:rPr>
              <w:t>乙方1</w:t>
            </w:r>
            <w:r>
              <w:rPr>
                <w:rFonts w:ascii="Times New Roman" w:hAnsi="Times New Roman"/>
                <w:kern w:val="0"/>
                <w:sz w:val="24"/>
                <w:szCs w:val="24"/>
              </w:rPr>
              <w:t>违约时，A包含资金成本，其中资本金部分按照6%计算资金成本；</w:t>
            </w:r>
          </w:p>
          <w:p>
            <w:pPr>
              <w:rPr>
                <w:rFonts w:ascii="Times New Roman" w:hAnsi="Times New Roman"/>
                <w:kern w:val="0"/>
                <w:sz w:val="24"/>
                <w:szCs w:val="24"/>
              </w:rPr>
            </w:pPr>
            <w:r>
              <w:rPr>
                <w:rFonts w:ascii="Times New Roman" w:hAnsi="Times New Roman"/>
                <w:kern w:val="0"/>
                <w:sz w:val="24"/>
                <w:szCs w:val="24"/>
              </w:rPr>
              <w:t>当</w:t>
            </w:r>
            <w:r>
              <w:rPr>
                <w:rFonts w:ascii="Times New Roman" w:hAnsi="Times New Roman"/>
                <w:sz w:val="24"/>
                <w:szCs w:val="24"/>
              </w:rPr>
              <w:t>乙方1</w:t>
            </w:r>
            <w:r>
              <w:rPr>
                <w:rFonts w:ascii="Times New Roman" w:hAnsi="Times New Roman"/>
                <w:kern w:val="0"/>
                <w:sz w:val="24"/>
                <w:szCs w:val="24"/>
              </w:rPr>
              <w:t>违约时，A不包含资金成本。</w:t>
            </w:r>
          </w:p>
        </w:tc>
      </w:tr>
      <w:tr>
        <w:tblPrEx>
          <w:tblCellMar>
            <w:top w:w="0" w:type="dxa"/>
            <w:left w:w="108" w:type="dxa"/>
            <w:bottom w:w="0" w:type="dxa"/>
            <w:right w:w="108" w:type="dxa"/>
          </w:tblCellMar>
        </w:tblPrEx>
        <w:trPr>
          <w:trHeight w:val="1553" w:hRule="atLeast"/>
        </w:trPr>
        <w:tc>
          <w:tcPr>
            <w:tcW w:w="992" w:type="dxa"/>
            <w:tcBorders>
              <w:top w:val="nil"/>
              <w:left w:val="single" w:color="auto" w:sz="4" w:space="0"/>
              <w:bottom w:val="single" w:color="auto" w:sz="4" w:space="0"/>
              <w:right w:val="single" w:color="auto" w:sz="4" w:space="0"/>
            </w:tcBorders>
            <w:vAlign w:val="center"/>
          </w:tcPr>
          <w:p>
            <w:pPr>
              <w:jc w:val="center"/>
              <w:rPr>
                <w:rFonts w:ascii="Times New Roman" w:hAnsi="Times New Roman"/>
                <w:b/>
                <w:bCs/>
                <w:kern w:val="0"/>
                <w:sz w:val="24"/>
                <w:szCs w:val="24"/>
              </w:rPr>
            </w:pPr>
            <w:r>
              <w:rPr>
                <w:rFonts w:ascii="Times New Roman" w:hAnsi="Times New Roman"/>
                <w:b/>
                <w:bCs/>
                <w:kern w:val="0"/>
                <w:sz w:val="24"/>
                <w:szCs w:val="24"/>
              </w:rPr>
              <w:t>B</w:t>
            </w:r>
          </w:p>
        </w:tc>
        <w:tc>
          <w:tcPr>
            <w:tcW w:w="6804" w:type="dxa"/>
            <w:tcBorders>
              <w:top w:val="nil"/>
              <w:left w:val="nil"/>
              <w:bottom w:val="single" w:color="auto" w:sz="4" w:space="0"/>
              <w:right w:val="single" w:color="auto" w:sz="4" w:space="0"/>
            </w:tcBorders>
            <w:vAlign w:val="center"/>
          </w:tcPr>
          <w:p>
            <w:pPr>
              <w:rPr>
                <w:rFonts w:ascii="Times New Roman" w:hAnsi="Times New Roman"/>
                <w:kern w:val="0"/>
                <w:sz w:val="24"/>
                <w:szCs w:val="24"/>
              </w:rPr>
            </w:pPr>
            <w:r>
              <w:rPr>
                <w:rFonts w:ascii="Times New Roman" w:hAnsi="Times New Roman"/>
                <w:kern w:val="0"/>
                <w:sz w:val="24"/>
                <w:szCs w:val="24"/>
              </w:rPr>
              <w:t>履约保证金在建设期为人民币伍亿</w:t>
            </w:r>
            <w:r>
              <w:rPr>
                <w:rFonts w:ascii="Times New Roman" w:hAnsi="Times New Roman"/>
                <w:bCs/>
                <w:kern w:val="0"/>
                <w:sz w:val="24"/>
                <w:szCs w:val="24"/>
              </w:rPr>
              <w:t>元整（￥50</w:t>
            </w:r>
            <w:r>
              <w:rPr>
                <w:rFonts w:ascii="Times New Roman" w:hAnsi="Times New Roman"/>
                <w:kern w:val="0"/>
                <w:sz w:val="24"/>
                <w:szCs w:val="24"/>
              </w:rPr>
              <w:t>0,000,000.00）；在运营期为人民币壹亿</w:t>
            </w:r>
            <w:r>
              <w:rPr>
                <w:rFonts w:ascii="Times New Roman" w:hAnsi="Times New Roman"/>
                <w:bCs/>
                <w:kern w:val="0"/>
                <w:sz w:val="24"/>
                <w:szCs w:val="24"/>
              </w:rPr>
              <w:t>元整（￥100</w:t>
            </w:r>
            <w:r>
              <w:rPr>
                <w:rFonts w:ascii="Times New Roman" w:hAnsi="Times New Roman"/>
                <w:kern w:val="0"/>
                <w:sz w:val="24"/>
                <w:szCs w:val="24"/>
              </w:rPr>
              <w:t>,000,000.00）；移交期为移交前两（2）年本项目大修一次所需的费用。</w:t>
            </w:r>
          </w:p>
        </w:tc>
      </w:tr>
      <w:tr>
        <w:tblPrEx>
          <w:tblCellMar>
            <w:top w:w="0" w:type="dxa"/>
            <w:left w:w="108" w:type="dxa"/>
            <w:bottom w:w="0" w:type="dxa"/>
            <w:right w:w="108" w:type="dxa"/>
          </w:tblCellMar>
        </w:tblPrEx>
        <w:trPr>
          <w:trHeight w:val="1452" w:hRule="atLeast"/>
        </w:trPr>
        <w:tc>
          <w:tcPr>
            <w:tcW w:w="992" w:type="dxa"/>
            <w:tcBorders>
              <w:top w:val="nil"/>
              <w:left w:val="single" w:color="auto" w:sz="4" w:space="0"/>
              <w:bottom w:val="single" w:color="auto" w:sz="4" w:space="0"/>
              <w:right w:val="single" w:color="auto" w:sz="4" w:space="0"/>
            </w:tcBorders>
            <w:vAlign w:val="center"/>
          </w:tcPr>
          <w:p>
            <w:pPr>
              <w:jc w:val="center"/>
              <w:rPr>
                <w:rFonts w:ascii="Times New Roman" w:hAnsi="Times New Roman"/>
                <w:b/>
                <w:bCs/>
                <w:kern w:val="0"/>
                <w:sz w:val="24"/>
                <w:szCs w:val="24"/>
              </w:rPr>
            </w:pPr>
            <w:r>
              <w:rPr>
                <w:rFonts w:ascii="Times New Roman" w:hAnsi="Times New Roman"/>
                <w:b/>
                <w:bCs/>
                <w:kern w:val="0"/>
                <w:sz w:val="24"/>
                <w:szCs w:val="24"/>
              </w:rPr>
              <w:t>C</w:t>
            </w:r>
          </w:p>
        </w:tc>
        <w:tc>
          <w:tcPr>
            <w:tcW w:w="6804" w:type="dxa"/>
            <w:tcBorders>
              <w:top w:val="nil"/>
              <w:left w:val="nil"/>
              <w:bottom w:val="single" w:color="auto" w:sz="4" w:space="0"/>
              <w:right w:val="single" w:color="auto" w:sz="4" w:space="0"/>
            </w:tcBorders>
            <w:vAlign w:val="center"/>
          </w:tcPr>
          <w:p>
            <w:pPr>
              <w:rPr>
                <w:rFonts w:ascii="Times New Roman" w:hAnsi="Times New Roman"/>
                <w:kern w:val="0"/>
                <w:sz w:val="24"/>
                <w:szCs w:val="24"/>
              </w:rPr>
            </w:pPr>
            <w:r>
              <w:rPr>
                <w:rFonts w:ascii="Times New Roman" w:hAnsi="Times New Roman"/>
                <w:kern w:val="0"/>
                <w:sz w:val="24"/>
                <w:szCs w:val="24"/>
              </w:rPr>
              <w:t>发生不可抗力情形时，根据《投资协议》、《PPP项目合同》及相关保险合同约定，乙方1或乙方2（含贷款方）实际获得的关于本项目的保险赔款。</w:t>
            </w:r>
          </w:p>
        </w:tc>
      </w:tr>
      <w:tr>
        <w:tblPrEx>
          <w:tblCellMar>
            <w:top w:w="0" w:type="dxa"/>
            <w:left w:w="108" w:type="dxa"/>
            <w:bottom w:w="0" w:type="dxa"/>
            <w:right w:w="108" w:type="dxa"/>
          </w:tblCellMar>
        </w:tblPrEx>
        <w:trPr>
          <w:trHeight w:val="1551" w:hRule="atLeast"/>
        </w:trPr>
        <w:tc>
          <w:tcPr>
            <w:tcW w:w="99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b/>
                <w:bCs/>
                <w:kern w:val="0"/>
                <w:sz w:val="24"/>
                <w:szCs w:val="24"/>
              </w:rPr>
            </w:pPr>
            <w:r>
              <w:rPr>
                <w:rFonts w:ascii="Times New Roman" w:hAnsi="Times New Roman"/>
                <w:b/>
                <w:bCs/>
                <w:kern w:val="0"/>
                <w:sz w:val="24"/>
                <w:szCs w:val="24"/>
              </w:rPr>
              <w:t>D</w:t>
            </w:r>
          </w:p>
        </w:tc>
        <w:tc>
          <w:tcPr>
            <w:tcW w:w="6804" w:type="dxa"/>
            <w:tcBorders>
              <w:top w:val="nil"/>
              <w:left w:val="nil"/>
              <w:bottom w:val="single" w:color="auto" w:sz="4" w:space="0"/>
              <w:right w:val="single" w:color="auto" w:sz="4" w:space="0"/>
            </w:tcBorders>
            <w:vAlign w:val="center"/>
          </w:tcPr>
          <w:p>
            <w:pPr>
              <w:spacing w:line="360" w:lineRule="auto"/>
              <w:rPr>
                <w:rFonts w:ascii="Times New Roman" w:hAnsi="Times New Roman"/>
                <w:kern w:val="0"/>
                <w:sz w:val="24"/>
                <w:szCs w:val="24"/>
              </w:rPr>
            </w:pPr>
            <w:r>
              <w:rPr>
                <w:rFonts w:ascii="Times New Roman" w:hAnsi="Times New Roman"/>
                <w:kern w:val="0"/>
                <w:sz w:val="24"/>
                <w:szCs w:val="24"/>
              </w:rPr>
              <w:t>发生不可抗力情形时，因乙方1或乙方2投保不足，导致所获保险赔款无法使项目设施恢复到出险前的正常状态和价值的恢复性建设费用缺额部分（如有）。</w:t>
            </w:r>
          </w:p>
        </w:tc>
      </w:tr>
      <w:tr>
        <w:tblPrEx>
          <w:tblCellMar>
            <w:top w:w="0" w:type="dxa"/>
            <w:left w:w="108" w:type="dxa"/>
            <w:bottom w:w="0" w:type="dxa"/>
            <w:right w:w="108" w:type="dxa"/>
          </w:tblCellMar>
        </w:tblPrEx>
        <w:trPr>
          <w:trHeight w:val="1273" w:hRule="atLeast"/>
        </w:trPr>
        <w:tc>
          <w:tcPr>
            <w:tcW w:w="77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kern w:val="0"/>
                <w:sz w:val="24"/>
                <w:szCs w:val="24"/>
              </w:rPr>
            </w:pPr>
            <w:r>
              <w:rPr>
                <w:rFonts w:ascii="Times New Roman" w:hAnsi="Times New Roman"/>
                <w:kern w:val="0"/>
                <w:sz w:val="24"/>
                <w:szCs w:val="24"/>
              </w:rPr>
              <w:t>因绩效考核、违约赔偿、奖励等原因导致的乙方1实际收入变化，不计入补偿的计算。</w:t>
            </w:r>
          </w:p>
        </w:tc>
      </w:tr>
    </w:tbl>
    <w:p>
      <w:pPr>
        <w:pStyle w:val="4"/>
        <w:keepNext w:val="0"/>
        <w:numPr>
          <w:ilvl w:val="0"/>
          <w:numId w:val="0"/>
        </w:numPr>
        <w:ind w:firstLine="560" w:firstLineChars="200"/>
        <w:rPr>
          <w:rFonts w:ascii="Times New Roman" w:hAnsi="Times New Roman"/>
        </w:rPr>
      </w:pPr>
      <w:r>
        <w:rPr>
          <w:rFonts w:ascii="Times New Roman" w:hAnsi="Times New Roman"/>
        </w:rPr>
        <w:t>16.7.2PPP项目合同被提前终止的补偿</w:t>
      </w:r>
    </w:p>
    <w:p>
      <w:pPr>
        <w:pStyle w:val="4"/>
        <w:keepNext w:val="0"/>
        <w:numPr>
          <w:ilvl w:val="0"/>
          <w:numId w:val="0"/>
        </w:numPr>
        <w:ind w:firstLine="560" w:firstLineChars="200"/>
        <w:rPr>
          <w:rFonts w:ascii="Times New Roman" w:hAnsi="Times New Roman"/>
        </w:rPr>
      </w:pPr>
      <w:r>
        <w:rPr>
          <w:rFonts w:ascii="Times New Roman" w:hAnsi="Times New Roman"/>
        </w:rPr>
        <w:t>对本合同第16.7.1条款所规定补偿的每一构成的计算必须经甲方确定的会计事务所验证，甲方须于确定会计事务所前征求乙方1的意见，甲方应采纳乙方1提出的合理意见。</w:t>
      </w:r>
    </w:p>
    <w:p>
      <w:pPr>
        <w:pStyle w:val="3"/>
        <w:keepNext w:val="0"/>
        <w:keepLines w:val="0"/>
        <w:widowControl w:val="0"/>
        <w:numPr>
          <w:ilvl w:val="0"/>
          <w:numId w:val="0"/>
        </w:numPr>
        <w:rPr>
          <w:rFonts w:ascii="Times New Roman" w:hAnsi="Times New Roman"/>
        </w:rPr>
      </w:pPr>
      <w:bookmarkStart w:id="301" w:name="_Toc482120774"/>
      <w:bookmarkStart w:id="302" w:name="_Toc68593609"/>
      <w:r>
        <w:rPr>
          <w:rFonts w:ascii="Times New Roman" w:hAnsi="Times New Roman"/>
        </w:rPr>
        <w:t>16.8  提前终止时履约保证金的处理</w:t>
      </w:r>
      <w:bookmarkEnd w:id="301"/>
      <w:bookmarkEnd w:id="302"/>
    </w:p>
    <w:p>
      <w:pPr>
        <w:pStyle w:val="4"/>
        <w:keepNext w:val="0"/>
        <w:numPr>
          <w:ilvl w:val="0"/>
          <w:numId w:val="0"/>
        </w:numPr>
        <w:ind w:firstLine="560" w:firstLineChars="200"/>
        <w:rPr>
          <w:rFonts w:ascii="Times New Roman" w:hAnsi="Times New Roman"/>
        </w:rPr>
      </w:pPr>
      <w:r>
        <w:rPr>
          <w:rFonts w:ascii="Times New Roman" w:hAnsi="Times New Roman"/>
        </w:rPr>
        <w:t>因本合同第16.1条款的规定而被提前终止的情况下，乙方1应按本合同第3.4.1条款的规定按照提前终止时正在生效银行保证金金额以银行保函的形式向甲方提交有效期至提前终止日后三百六十五（365）日届满的履约保证金，以确保履约保证金在提前终止日后三百六十五（365）日内继续保持有效。在此期间，本合同第14.5条款项下有关乙方1履行修复缺陷或损坏（不包括不可抗力事件造成的缺陷或损坏）义务以及甲方或政府指定机构相关权利的规定应适用。由乙方1提出的提前终止，履约保证金属于补偿的一部分，甲方不兑取履约保证金，甲方应在提前终止日后三百六十五（365）日届满后的第一（1）个</w:t>
      </w:r>
      <w:bookmarkStart w:id="303" w:name="page86"/>
      <w:bookmarkEnd w:id="303"/>
      <w:r>
        <w:rPr>
          <w:rFonts w:ascii="Times New Roman" w:hAnsi="Times New Roman"/>
        </w:rPr>
        <w:t>工作日解除履约保证金的剩余金额。</w:t>
      </w:r>
    </w:p>
    <w:p>
      <w:pPr>
        <w:pStyle w:val="3"/>
        <w:keepNext w:val="0"/>
        <w:keepLines w:val="0"/>
        <w:widowControl w:val="0"/>
        <w:numPr>
          <w:ilvl w:val="0"/>
          <w:numId w:val="0"/>
        </w:numPr>
        <w:rPr>
          <w:rFonts w:ascii="Times New Roman" w:hAnsi="Times New Roman"/>
        </w:rPr>
      </w:pPr>
      <w:bookmarkStart w:id="304" w:name="_Toc482120775"/>
      <w:bookmarkStart w:id="305" w:name="_Toc68593610"/>
      <w:r>
        <w:rPr>
          <w:rFonts w:ascii="Times New Roman" w:hAnsi="Times New Roman"/>
        </w:rPr>
        <w:t>16.9  责任限制</w:t>
      </w:r>
      <w:bookmarkEnd w:id="304"/>
      <w:bookmarkEnd w:id="305"/>
    </w:p>
    <w:p>
      <w:pPr>
        <w:pStyle w:val="4"/>
        <w:keepNext w:val="0"/>
        <w:numPr>
          <w:ilvl w:val="0"/>
          <w:numId w:val="0"/>
        </w:numPr>
        <w:ind w:firstLine="560" w:firstLineChars="200"/>
        <w:rPr>
          <w:rFonts w:ascii="Times New Roman" w:hAnsi="Times New Roman"/>
        </w:rPr>
      </w:pPr>
      <w:r>
        <w:rPr>
          <w:rFonts w:ascii="Times New Roman" w:hAnsi="Times New Roman"/>
        </w:rPr>
        <w:t>本合同第16条提前终止后，除向乙方1支付补偿外，甲方不应就上述终止或导致上述终止的任何事件向乙方1承担任何责任，但甲方明确承担的或由于甲方违约引致的责任除外。</w:t>
      </w:r>
    </w:p>
    <w:p>
      <w:pPr>
        <w:rPr>
          <w:rFonts w:ascii="Times New Roman" w:hAnsi="Times New Roman"/>
        </w:rPr>
      </w:pPr>
    </w:p>
    <w:p>
      <w:pPr>
        <w:widowControl/>
        <w:jc w:val="left"/>
        <w:rPr>
          <w:rFonts w:ascii="Times New Roman" w:hAnsi="Times New Roman"/>
        </w:rPr>
      </w:pPr>
      <w:r>
        <w:rPr>
          <w:rFonts w:ascii="Times New Roman" w:hAnsi="Times New Roman"/>
        </w:rPr>
        <w:br w:type="page"/>
      </w:r>
    </w:p>
    <w:p>
      <w:pPr>
        <w:pStyle w:val="2"/>
        <w:keepNext w:val="0"/>
        <w:ind w:right="0" w:rightChars="0"/>
        <w:rPr>
          <w:rFonts w:ascii="Times New Roman" w:hAnsi="Times New Roman"/>
          <w:lang w:eastAsia="zh-CN"/>
        </w:rPr>
      </w:pPr>
      <w:bookmarkStart w:id="306" w:name="_Toc482120779"/>
      <w:bookmarkStart w:id="307" w:name="_Toc68593611"/>
      <w:bookmarkStart w:id="308" w:name="_Toc480978653"/>
      <w:r>
        <w:rPr>
          <w:rFonts w:ascii="Times New Roman" w:hAnsi="Times New Roman"/>
          <w:lang w:eastAsia="zh-CN"/>
        </w:rPr>
        <w:t>第17条  转让和担保</w:t>
      </w:r>
      <w:bookmarkEnd w:id="306"/>
      <w:bookmarkEnd w:id="307"/>
      <w:bookmarkEnd w:id="308"/>
    </w:p>
    <w:p>
      <w:pPr>
        <w:pStyle w:val="3"/>
        <w:keepNext w:val="0"/>
        <w:keepLines w:val="0"/>
        <w:widowControl w:val="0"/>
        <w:numPr>
          <w:ilvl w:val="0"/>
          <w:numId w:val="0"/>
        </w:numPr>
        <w:rPr>
          <w:rFonts w:ascii="Times New Roman" w:hAnsi="Times New Roman"/>
        </w:rPr>
      </w:pPr>
      <w:bookmarkStart w:id="309" w:name="_Toc482120780"/>
      <w:bookmarkStart w:id="310" w:name="_Toc68593612"/>
      <w:r>
        <w:rPr>
          <w:rFonts w:ascii="Times New Roman" w:hAnsi="Times New Roman"/>
        </w:rPr>
        <w:t>17.1  甲方的转让</w:t>
      </w:r>
      <w:bookmarkEnd w:id="309"/>
      <w:bookmarkEnd w:id="310"/>
    </w:p>
    <w:p>
      <w:pPr>
        <w:pStyle w:val="4"/>
        <w:keepNext w:val="0"/>
        <w:numPr>
          <w:ilvl w:val="0"/>
          <w:numId w:val="0"/>
        </w:numPr>
        <w:ind w:firstLine="560" w:firstLineChars="200"/>
        <w:rPr>
          <w:rFonts w:ascii="Times New Roman" w:hAnsi="Times New Roman"/>
        </w:rPr>
      </w:pPr>
      <w:r>
        <w:rPr>
          <w:rFonts w:ascii="Times New Roman" w:hAnsi="Times New Roman"/>
        </w:rPr>
        <w:t>17.1.1未经乙方1事先书面同意，甲方不得转让其在本合同项下全部或部分的权利或义务。</w:t>
      </w:r>
    </w:p>
    <w:p>
      <w:pPr>
        <w:pStyle w:val="4"/>
        <w:keepNext w:val="0"/>
        <w:numPr>
          <w:ilvl w:val="0"/>
          <w:numId w:val="0"/>
        </w:numPr>
        <w:ind w:firstLine="560" w:firstLineChars="200"/>
        <w:rPr>
          <w:rFonts w:ascii="Times New Roman" w:hAnsi="Times New Roman"/>
        </w:rPr>
      </w:pPr>
      <w:r>
        <w:rPr>
          <w:rFonts w:ascii="Times New Roman" w:hAnsi="Times New Roman"/>
        </w:rPr>
        <w:t>17.1.2第17.1.1条款的规定并不妨碍甲方与中国其他的政府部门或机构或具有行政管理职能的机构合并、分立或职能转移，条件是合并、分立或职能转移后的政府部门或机构：</w:t>
      </w:r>
    </w:p>
    <w:p>
      <w:pPr>
        <w:pStyle w:val="4"/>
        <w:keepNext w:val="0"/>
        <w:numPr>
          <w:ilvl w:val="0"/>
          <w:numId w:val="0"/>
        </w:numPr>
        <w:ind w:firstLine="560" w:firstLineChars="200"/>
        <w:rPr>
          <w:rFonts w:ascii="Times New Roman" w:hAnsi="Times New Roman"/>
        </w:rPr>
      </w:pPr>
      <w:r>
        <w:rPr>
          <w:rFonts w:ascii="Times New Roman" w:hAnsi="Times New Roman"/>
        </w:rPr>
        <w:t>（a）具有承担甲方在本合同项下所承担的所有权利、义务和责任的能力和授权；以及</w:t>
      </w:r>
    </w:p>
    <w:p>
      <w:pPr>
        <w:pStyle w:val="4"/>
        <w:keepNext w:val="0"/>
        <w:numPr>
          <w:ilvl w:val="0"/>
          <w:numId w:val="0"/>
        </w:numPr>
        <w:ind w:firstLine="560" w:firstLineChars="200"/>
        <w:rPr>
          <w:rFonts w:ascii="Times New Roman" w:hAnsi="Times New Roman"/>
        </w:rPr>
      </w:pPr>
      <w:r>
        <w:rPr>
          <w:rFonts w:ascii="Times New Roman" w:hAnsi="Times New Roman"/>
        </w:rPr>
        <w:t>（b）接受并完全承担甲方在本合同项下义务的履行。</w:t>
      </w:r>
    </w:p>
    <w:p>
      <w:pPr>
        <w:pStyle w:val="3"/>
        <w:keepNext w:val="0"/>
        <w:keepLines w:val="0"/>
        <w:widowControl w:val="0"/>
        <w:numPr>
          <w:ilvl w:val="0"/>
          <w:numId w:val="0"/>
        </w:numPr>
        <w:rPr>
          <w:rFonts w:ascii="Times New Roman" w:hAnsi="Times New Roman"/>
        </w:rPr>
      </w:pPr>
      <w:bookmarkStart w:id="311" w:name="_Toc482120781"/>
      <w:bookmarkStart w:id="312" w:name="_Toc68593613"/>
      <w:r>
        <w:rPr>
          <w:rFonts w:ascii="Times New Roman" w:hAnsi="Times New Roman"/>
        </w:rPr>
        <w:t>17.2  乙方1的转让</w:t>
      </w:r>
      <w:bookmarkEnd w:id="311"/>
      <w:bookmarkEnd w:id="312"/>
    </w:p>
    <w:p>
      <w:pPr>
        <w:pStyle w:val="4"/>
        <w:keepNext w:val="0"/>
        <w:numPr>
          <w:ilvl w:val="0"/>
          <w:numId w:val="0"/>
        </w:numPr>
        <w:ind w:firstLine="560" w:firstLineChars="200"/>
        <w:rPr>
          <w:rFonts w:ascii="Times New Roman" w:hAnsi="Times New Roman"/>
        </w:rPr>
      </w:pPr>
      <w:r>
        <w:rPr>
          <w:rFonts w:ascii="Times New Roman" w:hAnsi="Times New Roman"/>
        </w:rPr>
        <w:t>17.2.1权利义务的转让</w:t>
      </w:r>
    </w:p>
    <w:p>
      <w:pPr>
        <w:pStyle w:val="4"/>
        <w:keepNext w:val="0"/>
        <w:numPr>
          <w:ilvl w:val="0"/>
          <w:numId w:val="0"/>
        </w:numPr>
        <w:ind w:firstLine="560" w:firstLineChars="200"/>
        <w:rPr>
          <w:rFonts w:ascii="Times New Roman" w:hAnsi="Times New Roman"/>
        </w:rPr>
      </w:pPr>
      <w:r>
        <w:rPr>
          <w:rFonts w:ascii="Times New Roman" w:hAnsi="Times New Roman"/>
        </w:rPr>
        <w:t>项目交工验收后，经甲方事先书面同意，乙方1可按相关法规与受让方在本合同原则性条款及条件不变的条件下签署新的合同，乙方1可向受让方转让本合同项下的权利和义务，受让方须</w:t>
      </w:r>
      <w:bookmarkStart w:id="313" w:name="page87"/>
      <w:bookmarkEnd w:id="313"/>
      <w:r>
        <w:rPr>
          <w:rFonts w:ascii="Times New Roman" w:hAnsi="Times New Roman"/>
        </w:rPr>
        <w:t>具备以下条件：</w:t>
      </w:r>
    </w:p>
    <w:p>
      <w:pPr>
        <w:pStyle w:val="4"/>
        <w:keepNext w:val="0"/>
        <w:numPr>
          <w:ilvl w:val="0"/>
          <w:numId w:val="0"/>
        </w:numPr>
        <w:ind w:firstLine="560" w:firstLineChars="200"/>
        <w:rPr>
          <w:rFonts w:ascii="Times New Roman" w:hAnsi="Times New Roman"/>
        </w:rPr>
      </w:pPr>
      <w:r>
        <w:rPr>
          <w:rFonts w:ascii="Times New Roman" w:hAnsi="Times New Roman"/>
        </w:rPr>
        <w:t>（a）受让方财务状况应相当或优于乙方1在生效日时的状况，以确保转让后本项目的资金运转水平不降低；</w:t>
      </w:r>
    </w:p>
    <w:p>
      <w:pPr>
        <w:pStyle w:val="4"/>
        <w:keepNext w:val="0"/>
        <w:numPr>
          <w:ilvl w:val="0"/>
          <w:numId w:val="0"/>
        </w:numPr>
        <w:ind w:firstLine="560" w:firstLineChars="200"/>
        <w:rPr>
          <w:rFonts w:ascii="Times New Roman" w:hAnsi="Times New Roman"/>
        </w:rPr>
      </w:pPr>
      <w:r>
        <w:rPr>
          <w:rFonts w:ascii="Times New Roman" w:hAnsi="Times New Roman"/>
        </w:rPr>
        <w:t>（b）受让方应出具书面声明，表明其已经完全理解并接受投资协议及本合同全部条款规定的内容，特别需要完善处理和安排乙方1在本项目下相关融资贷款合同、相关债务以及本项目下一切责任义务合法的变更、交接和延续</w:t>
      </w:r>
      <w:r>
        <w:rPr>
          <w:rFonts w:hint="eastAsia" w:ascii="Times New Roman" w:hAnsi="Times New Roman"/>
        </w:rPr>
        <w:t>，对于转让前乙方1应负担的债务及责任，转让后全部由受让方承担，乙方1对此承担连带责任</w:t>
      </w:r>
      <w:r>
        <w:rPr>
          <w:rFonts w:ascii="Times New Roman" w:hAnsi="Times New Roman"/>
        </w:rPr>
        <w:t>；</w:t>
      </w:r>
    </w:p>
    <w:p>
      <w:pPr>
        <w:pStyle w:val="4"/>
        <w:keepNext w:val="0"/>
        <w:numPr>
          <w:ilvl w:val="0"/>
          <w:numId w:val="0"/>
        </w:numPr>
        <w:ind w:firstLine="560" w:firstLineChars="200"/>
        <w:rPr>
          <w:rFonts w:ascii="Times New Roman" w:hAnsi="Times New Roman"/>
        </w:rPr>
      </w:pPr>
      <w:r>
        <w:rPr>
          <w:rFonts w:ascii="Times New Roman" w:hAnsi="Times New Roman"/>
        </w:rPr>
        <w:t>（c）受让方应具有运营不小于本项目规模的高速公路建设、运营维护经验；</w:t>
      </w:r>
    </w:p>
    <w:p>
      <w:pPr>
        <w:pStyle w:val="4"/>
        <w:keepNext w:val="0"/>
        <w:numPr>
          <w:ilvl w:val="0"/>
          <w:numId w:val="0"/>
        </w:numPr>
        <w:ind w:firstLine="560" w:firstLineChars="200"/>
        <w:rPr>
          <w:rFonts w:ascii="Times New Roman" w:hAnsi="Times New Roman"/>
        </w:rPr>
      </w:pPr>
      <w:r>
        <w:rPr>
          <w:rFonts w:ascii="Times New Roman" w:hAnsi="Times New Roman"/>
        </w:rPr>
        <w:t>（d）受让方在拟转让日前商业信誉良好，在经济活动中无重大违法违规行为，近三（3）年内财务会计资料无虚假记载、银行和税务信用评价系统或企业信用系统中无不良记录，未被省级及以上交通运输主管部门取消项目所在地的投标资格或禁止进入该区域公路建设市场。受让方及其法定代表人或执行事务合伙人委派代表在拟转让日前近十（10）年无行贿犯罪记录。</w:t>
      </w:r>
    </w:p>
    <w:p>
      <w:pPr>
        <w:pStyle w:val="4"/>
        <w:keepNext w:val="0"/>
        <w:numPr>
          <w:ilvl w:val="0"/>
          <w:numId w:val="0"/>
        </w:numPr>
        <w:ind w:firstLine="560" w:firstLineChars="200"/>
        <w:rPr>
          <w:rFonts w:ascii="Times New Roman" w:hAnsi="Times New Roman"/>
        </w:rPr>
      </w:pPr>
      <w:r>
        <w:rPr>
          <w:rFonts w:ascii="Times New Roman" w:hAnsi="Times New Roman"/>
        </w:rPr>
        <w:t>17.2.2乙方1资产的转让和担保</w:t>
      </w:r>
    </w:p>
    <w:p>
      <w:pPr>
        <w:pStyle w:val="4"/>
        <w:keepNext w:val="0"/>
        <w:numPr>
          <w:ilvl w:val="0"/>
          <w:numId w:val="0"/>
        </w:numPr>
        <w:ind w:firstLine="560" w:firstLineChars="200"/>
        <w:rPr>
          <w:rFonts w:ascii="Times New Roman" w:hAnsi="Times New Roman"/>
        </w:rPr>
      </w:pPr>
      <w:r>
        <w:rPr>
          <w:rFonts w:ascii="Times New Roman" w:hAnsi="Times New Roman"/>
        </w:rPr>
        <w:t>在特许经营期内未经甲方事先书面同意，乙方1应不得转让、质押项目的特许经营权</w:t>
      </w:r>
      <w:r>
        <w:rPr>
          <w:rFonts w:hint="eastAsia" w:ascii="Times New Roman" w:hAnsi="Times New Roman"/>
        </w:rPr>
        <w:t>的收益权</w:t>
      </w:r>
      <w:r>
        <w:rPr>
          <w:rFonts w:ascii="Times New Roman" w:hAnsi="Times New Roman"/>
        </w:rPr>
        <w:t>（按照本合同乙方1用于融资的特许经营权</w:t>
      </w:r>
      <w:r>
        <w:rPr>
          <w:rFonts w:hint="eastAsia" w:ascii="Times New Roman" w:hAnsi="Times New Roman"/>
        </w:rPr>
        <w:t>的收益权的</w:t>
      </w:r>
      <w:r>
        <w:rPr>
          <w:rFonts w:ascii="Times New Roman" w:hAnsi="Times New Roman"/>
        </w:rPr>
        <w:t>质押除外），不得出让、转让、抵押项目的土地使用权、项目设施或任何其它重要资产（按照投资协议及本合同移交给甲方或政府指定机构的资产除外）。若乙方1擅自以项目资产设置担保或进行处置，甲方有权责令乙方1在一定期限内解除担保或收回被处置资产，同时可一次性按照担保或处置资产价值的10%兑取履约保证金；若乙方1未按限定期限解除担</w:t>
      </w:r>
      <w:bookmarkStart w:id="314" w:name="page88"/>
      <w:bookmarkEnd w:id="314"/>
      <w:r>
        <w:rPr>
          <w:rFonts w:ascii="Times New Roman" w:hAnsi="Times New Roman"/>
        </w:rPr>
        <w:t>保或收回被处置资产，每延迟一（1）日，甲方可按照担保或处置资产价值的1%兑取履约保证金。履约保证金不足部分由乙方1向甲方交纳。</w:t>
      </w:r>
      <w:bookmarkStart w:id="315" w:name="page89"/>
      <w:bookmarkEnd w:id="315"/>
    </w:p>
    <w:p>
      <w:pPr>
        <w:pStyle w:val="2"/>
        <w:keepNext w:val="0"/>
        <w:ind w:right="0" w:rightChars="0"/>
        <w:rPr>
          <w:rFonts w:ascii="Times New Roman" w:hAnsi="Times New Roman"/>
          <w:b w:val="0"/>
          <w:lang w:eastAsia="zh-CN"/>
        </w:rPr>
      </w:pPr>
      <w:r>
        <w:rPr>
          <w:rFonts w:ascii="Times New Roman" w:hAnsi="Times New Roman"/>
          <w:bCs w:val="0"/>
          <w:sz w:val="28"/>
          <w:szCs w:val="32"/>
          <w:lang w:eastAsia="zh-CN"/>
        </w:rPr>
        <w:br w:type="page"/>
      </w:r>
      <w:bookmarkStart w:id="316" w:name="_Toc480978654"/>
      <w:bookmarkStart w:id="317" w:name="_Toc482120776"/>
      <w:bookmarkStart w:id="318" w:name="_Toc68593614"/>
      <w:r>
        <w:rPr>
          <w:rFonts w:ascii="Times New Roman" w:hAnsi="Times New Roman"/>
          <w:lang w:eastAsia="zh-CN"/>
        </w:rPr>
        <w:t>第18条  补偿</w:t>
      </w:r>
      <w:bookmarkEnd w:id="316"/>
      <w:bookmarkEnd w:id="317"/>
      <w:bookmarkEnd w:id="318"/>
    </w:p>
    <w:p>
      <w:pPr>
        <w:pStyle w:val="3"/>
        <w:keepNext w:val="0"/>
        <w:keepLines w:val="0"/>
        <w:widowControl w:val="0"/>
        <w:numPr>
          <w:ilvl w:val="0"/>
          <w:numId w:val="0"/>
        </w:numPr>
        <w:rPr>
          <w:rFonts w:ascii="Times New Roman" w:hAnsi="Times New Roman"/>
        </w:rPr>
      </w:pPr>
      <w:bookmarkStart w:id="319" w:name="_Toc482120777"/>
      <w:bookmarkStart w:id="320" w:name="_Toc68593615"/>
      <w:r>
        <w:rPr>
          <w:rFonts w:ascii="Times New Roman" w:hAnsi="Times New Roman"/>
        </w:rPr>
        <w:t>18.1  一般补偿</w:t>
      </w:r>
      <w:bookmarkEnd w:id="319"/>
      <w:bookmarkEnd w:id="320"/>
    </w:p>
    <w:p>
      <w:pPr>
        <w:pStyle w:val="4"/>
        <w:keepNext w:val="0"/>
        <w:numPr>
          <w:ilvl w:val="0"/>
          <w:numId w:val="0"/>
        </w:numPr>
        <w:ind w:firstLine="560" w:firstLineChars="200"/>
        <w:rPr>
          <w:rFonts w:ascii="Times New Roman" w:hAnsi="Times New Roman"/>
        </w:rPr>
      </w:pPr>
      <w:r>
        <w:rPr>
          <w:rFonts w:ascii="Times New Roman" w:hAnsi="Times New Roman"/>
        </w:rPr>
        <w:t>18.1.1获得一般补偿的权利</w:t>
      </w:r>
    </w:p>
    <w:p>
      <w:pPr>
        <w:pStyle w:val="4"/>
        <w:keepNext w:val="0"/>
        <w:numPr>
          <w:ilvl w:val="0"/>
          <w:numId w:val="0"/>
        </w:numPr>
        <w:ind w:firstLine="560" w:firstLineChars="200"/>
        <w:rPr>
          <w:rFonts w:ascii="Times New Roman" w:hAnsi="Times New Roman"/>
        </w:rPr>
      </w:pPr>
      <w:r>
        <w:rPr>
          <w:rFonts w:ascii="Times New Roman" w:hAnsi="Times New Roman"/>
        </w:rPr>
        <w:t>特许经营期内，如发生下述事件（下称“一般补偿事件”），双方经谈判达成一致后，甲方应依照第18条的规定对乙方1进行补偿：</w:t>
      </w:r>
    </w:p>
    <w:p>
      <w:pPr>
        <w:pStyle w:val="4"/>
        <w:keepNext w:val="0"/>
        <w:numPr>
          <w:ilvl w:val="0"/>
          <w:numId w:val="0"/>
        </w:numPr>
        <w:ind w:firstLine="560" w:firstLineChars="200"/>
        <w:rPr>
          <w:rFonts w:ascii="Times New Roman" w:hAnsi="Times New Roman"/>
        </w:rPr>
      </w:pPr>
      <w:r>
        <w:rPr>
          <w:rFonts w:ascii="Times New Roman" w:hAnsi="Times New Roman"/>
        </w:rPr>
        <w:t>（a）发生第15.1条款项下不可抗力事件，导致乙方1工程建设投资、维护成本增加；</w:t>
      </w:r>
    </w:p>
    <w:p>
      <w:pPr>
        <w:pStyle w:val="4"/>
        <w:keepNext w:val="0"/>
        <w:numPr>
          <w:ilvl w:val="0"/>
          <w:numId w:val="0"/>
        </w:numPr>
        <w:ind w:firstLine="560" w:firstLineChars="200"/>
        <w:rPr>
          <w:rFonts w:ascii="Times New Roman" w:hAnsi="Times New Roman"/>
        </w:rPr>
      </w:pPr>
      <w:r>
        <w:rPr>
          <w:rFonts w:ascii="Times New Roman" w:hAnsi="Times New Roman"/>
        </w:rPr>
        <w:t>（b）法律、法规、规章或行业标准变更使得乙方1为符合新的要求调整建设标准导致投资或运营维护成本增加累计超过5%。</w:t>
      </w:r>
    </w:p>
    <w:p>
      <w:pPr>
        <w:pStyle w:val="4"/>
        <w:keepNext w:val="0"/>
        <w:numPr>
          <w:ilvl w:val="0"/>
          <w:numId w:val="0"/>
        </w:numPr>
        <w:ind w:firstLine="560" w:firstLineChars="200"/>
        <w:rPr>
          <w:rFonts w:ascii="Times New Roman" w:hAnsi="Times New Roman"/>
        </w:rPr>
      </w:pPr>
      <w:r>
        <w:rPr>
          <w:rFonts w:ascii="Times New Roman" w:hAnsi="Times New Roman"/>
        </w:rPr>
        <w:t>18.1.2补偿形式</w:t>
      </w:r>
    </w:p>
    <w:p>
      <w:pPr>
        <w:pStyle w:val="4"/>
        <w:keepNext w:val="0"/>
        <w:numPr>
          <w:ilvl w:val="0"/>
          <w:numId w:val="0"/>
        </w:numPr>
        <w:ind w:firstLine="560" w:firstLineChars="200"/>
        <w:rPr>
          <w:rFonts w:ascii="Times New Roman" w:hAnsi="Times New Roman"/>
        </w:rPr>
      </w:pPr>
      <w:r>
        <w:rPr>
          <w:rFonts w:ascii="Times New Roman" w:hAnsi="Times New Roman"/>
        </w:rPr>
        <w:t>补偿仅限于采用延长运营期的方式，调整后的运营期最长不超过三十（30）年。</w:t>
      </w:r>
    </w:p>
    <w:p>
      <w:pPr>
        <w:pStyle w:val="4"/>
        <w:keepNext w:val="0"/>
        <w:numPr>
          <w:ilvl w:val="0"/>
          <w:numId w:val="0"/>
        </w:numPr>
        <w:ind w:firstLine="560" w:firstLineChars="200"/>
        <w:rPr>
          <w:rFonts w:ascii="Times New Roman" w:hAnsi="Times New Roman"/>
        </w:rPr>
      </w:pPr>
      <w:r>
        <w:rPr>
          <w:rFonts w:ascii="Times New Roman" w:hAnsi="Times New Roman"/>
        </w:rPr>
        <w:t>18.1.3以其他方式已补偿的损失</w:t>
      </w:r>
    </w:p>
    <w:p>
      <w:pPr>
        <w:pStyle w:val="4"/>
        <w:keepNext w:val="0"/>
        <w:numPr>
          <w:ilvl w:val="0"/>
          <w:numId w:val="0"/>
        </w:numPr>
        <w:ind w:firstLine="560" w:firstLineChars="200"/>
        <w:rPr>
          <w:rFonts w:ascii="Times New Roman" w:hAnsi="Times New Roman"/>
        </w:rPr>
      </w:pPr>
      <w:r>
        <w:rPr>
          <w:rFonts w:ascii="Times New Roman" w:hAnsi="Times New Roman"/>
        </w:rPr>
        <w:t>就乙方1因一般补偿事件而发生的损失、损害或责任（包括增加的运营成本或资本性支出），甲方没有义务对乙方1已从下列途径另行获取补偿或抵销的损失部分提供补偿：</w:t>
      </w:r>
    </w:p>
    <w:p>
      <w:pPr>
        <w:pStyle w:val="4"/>
        <w:keepNext w:val="0"/>
        <w:numPr>
          <w:ilvl w:val="0"/>
          <w:numId w:val="0"/>
        </w:numPr>
        <w:ind w:firstLine="560" w:firstLineChars="200"/>
        <w:rPr>
          <w:rFonts w:ascii="Times New Roman" w:hAnsi="Times New Roman"/>
        </w:rPr>
      </w:pPr>
      <w:r>
        <w:rPr>
          <w:rFonts w:ascii="Times New Roman" w:hAnsi="Times New Roman"/>
        </w:rPr>
        <w:t>（a）乙方1有权获得的保险赔款（包括认定保险赔款）；</w:t>
      </w:r>
    </w:p>
    <w:p>
      <w:pPr>
        <w:pStyle w:val="4"/>
        <w:keepNext w:val="0"/>
        <w:numPr>
          <w:ilvl w:val="0"/>
          <w:numId w:val="0"/>
        </w:numPr>
        <w:ind w:firstLine="560" w:firstLineChars="200"/>
        <w:rPr>
          <w:rFonts w:ascii="Times New Roman" w:hAnsi="Times New Roman"/>
        </w:rPr>
      </w:pPr>
      <w:r>
        <w:rPr>
          <w:rFonts w:ascii="Times New Roman" w:hAnsi="Times New Roman"/>
        </w:rPr>
        <w:t>（b）乙方1已从其他途径（通过其股东投资或股东提供其它融资的除外）获得补偿；</w:t>
      </w:r>
    </w:p>
    <w:p>
      <w:pPr>
        <w:pStyle w:val="4"/>
        <w:keepNext w:val="0"/>
        <w:numPr>
          <w:ilvl w:val="0"/>
          <w:numId w:val="0"/>
        </w:numPr>
        <w:ind w:firstLine="560" w:firstLineChars="200"/>
        <w:rPr>
          <w:rFonts w:ascii="Times New Roman" w:hAnsi="Times New Roman"/>
        </w:rPr>
      </w:pPr>
      <w:r>
        <w:rPr>
          <w:rFonts w:ascii="Times New Roman" w:hAnsi="Times New Roman"/>
        </w:rPr>
        <w:t>（c）甲方按照本合同其他规定或以其他方式提供补偿；</w:t>
      </w:r>
    </w:p>
    <w:p>
      <w:pPr>
        <w:pStyle w:val="4"/>
        <w:keepNext w:val="0"/>
        <w:numPr>
          <w:ilvl w:val="0"/>
          <w:numId w:val="0"/>
        </w:numPr>
        <w:ind w:firstLine="560" w:firstLineChars="200"/>
        <w:rPr>
          <w:rFonts w:ascii="Times New Roman" w:hAnsi="Times New Roman"/>
        </w:rPr>
      </w:pPr>
      <w:bookmarkStart w:id="321" w:name="page90"/>
      <w:bookmarkEnd w:id="321"/>
      <w:r>
        <w:rPr>
          <w:rFonts w:ascii="Times New Roman" w:hAnsi="Times New Roman"/>
        </w:rPr>
        <w:t>（d）在生效日后，国家立法机关或任何陕西省及以上政府部门颁布、修改、废除或重新解释任何适用法律、法规、规章使乙方1的资本性支出或运营成本减少或以其它方式已补偿了乙方1。</w:t>
      </w:r>
    </w:p>
    <w:p>
      <w:pPr>
        <w:pStyle w:val="4"/>
        <w:keepNext w:val="0"/>
        <w:numPr>
          <w:ilvl w:val="0"/>
          <w:numId w:val="0"/>
        </w:numPr>
        <w:ind w:firstLine="560" w:firstLineChars="200"/>
        <w:rPr>
          <w:rFonts w:ascii="Times New Roman" w:hAnsi="Times New Roman"/>
        </w:rPr>
      </w:pPr>
      <w:r>
        <w:rPr>
          <w:rFonts w:ascii="Times New Roman" w:hAnsi="Times New Roman"/>
        </w:rPr>
        <w:t>18.1.4补偿事件的通知</w:t>
      </w:r>
    </w:p>
    <w:p>
      <w:pPr>
        <w:pStyle w:val="4"/>
        <w:keepNext w:val="0"/>
        <w:numPr>
          <w:ilvl w:val="0"/>
          <w:numId w:val="0"/>
        </w:numPr>
        <w:ind w:firstLine="560" w:firstLineChars="200"/>
        <w:rPr>
          <w:rFonts w:ascii="Times New Roman" w:hAnsi="Times New Roman"/>
        </w:rPr>
      </w:pPr>
      <w:r>
        <w:rPr>
          <w:rFonts w:ascii="Times New Roman" w:hAnsi="Times New Roman"/>
        </w:rPr>
        <w:t>当按照本合同第18.1.1条款规定而使乙方1有权获得补偿时，乙方1应书面通知甲方一般补偿事件的发生及其可能之影响，包括有关损失的性质和估计延长期限（下称“补偿通知”）。</w:t>
      </w:r>
    </w:p>
    <w:p>
      <w:pPr>
        <w:pStyle w:val="4"/>
        <w:keepNext w:val="0"/>
        <w:numPr>
          <w:ilvl w:val="0"/>
          <w:numId w:val="0"/>
        </w:numPr>
        <w:ind w:firstLine="560" w:firstLineChars="200"/>
        <w:rPr>
          <w:rFonts w:ascii="Times New Roman" w:hAnsi="Times New Roman"/>
        </w:rPr>
      </w:pPr>
      <w:r>
        <w:rPr>
          <w:rFonts w:ascii="Times New Roman" w:hAnsi="Times New Roman"/>
        </w:rPr>
        <w:t>18.1.5谈判期</w:t>
      </w:r>
    </w:p>
    <w:p>
      <w:pPr>
        <w:pStyle w:val="4"/>
        <w:keepNext w:val="0"/>
        <w:numPr>
          <w:ilvl w:val="0"/>
          <w:numId w:val="0"/>
        </w:numPr>
        <w:ind w:firstLine="560" w:firstLineChars="200"/>
        <w:rPr>
          <w:rFonts w:ascii="Times New Roman" w:hAnsi="Times New Roman"/>
        </w:rPr>
      </w:pPr>
      <w:r>
        <w:rPr>
          <w:rFonts w:ascii="Times New Roman" w:hAnsi="Times New Roman"/>
        </w:rPr>
        <w:t>（a）甲方收到补偿通知后，双方应本着公平公正的原则诚意进行谈判，尽其最大努力就补偿的期限及时间达成一致；</w:t>
      </w:r>
    </w:p>
    <w:p>
      <w:pPr>
        <w:pStyle w:val="4"/>
        <w:keepNext w:val="0"/>
        <w:numPr>
          <w:ilvl w:val="0"/>
          <w:numId w:val="0"/>
        </w:numPr>
        <w:ind w:firstLine="560" w:firstLineChars="200"/>
        <w:rPr>
          <w:rFonts w:ascii="Times New Roman" w:hAnsi="Times New Roman"/>
        </w:rPr>
      </w:pPr>
      <w:r>
        <w:rPr>
          <w:rFonts w:ascii="Times New Roman" w:hAnsi="Times New Roman"/>
        </w:rPr>
        <w:t>（b）若在补偿通知发出后三十（30）日内双方未能就补偿达成一致，则按照本合同第25条的规定解决。</w:t>
      </w:r>
    </w:p>
    <w:p>
      <w:pPr>
        <w:pStyle w:val="4"/>
        <w:keepNext w:val="0"/>
        <w:numPr>
          <w:ilvl w:val="0"/>
          <w:numId w:val="0"/>
        </w:numPr>
        <w:ind w:firstLine="560" w:firstLineChars="200"/>
        <w:rPr>
          <w:rFonts w:ascii="Times New Roman" w:hAnsi="Times New Roman"/>
        </w:rPr>
      </w:pPr>
      <w:r>
        <w:rPr>
          <w:rFonts w:ascii="Times New Roman" w:hAnsi="Times New Roman"/>
        </w:rPr>
        <w:t>18.1.6对责任的限制</w:t>
      </w:r>
    </w:p>
    <w:p>
      <w:pPr>
        <w:pStyle w:val="4"/>
        <w:keepNext w:val="0"/>
        <w:numPr>
          <w:ilvl w:val="0"/>
          <w:numId w:val="0"/>
        </w:numPr>
        <w:ind w:firstLine="560" w:firstLineChars="200"/>
        <w:rPr>
          <w:rFonts w:ascii="Times New Roman" w:hAnsi="Times New Roman"/>
        </w:rPr>
      </w:pPr>
      <w:r>
        <w:rPr>
          <w:rFonts w:ascii="Times New Roman" w:hAnsi="Times New Roman"/>
        </w:rPr>
        <w:t>乙方1同意，如果甲方按照本合同第18条的规定提供补偿，甲方对乙方1不再承担有关补偿事件的任何其它责任。</w:t>
      </w:r>
    </w:p>
    <w:p>
      <w:pPr>
        <w:pStyle w:val="3"/>
        <w:keepNext w:val="0"/>
        <w:keepLines w:val="0"/>
        <w:widowControl w:val="0"/>
        <w:numPr>
          <w:ilvl w:val="0"/>
          <w:numId w:val="0"/>
        </w:numPr>
        <w:rPr>
          <w:rFonts w:ascii="Times New Roman" w:hAnsi="Times New Roman"/>
        </w:rPr>
      </w:pPr>
      <w:bookmarkStart w:id="322" w:name="_Toc68593616"/>
      <w:bookmarkStart w:id="323" w:name="_Toc482120778"/>
      <w:r>
        <w:rPr>
          <w:rFonts w:ascii="Times New Roman" w:hAnsi="Times New Roman"/>
        </w:rPr>
        <w:t>18.2  违约赔偿</w:t>
      </w:r>
      <w:bookmarkEnd w:id="322"/>
      <w:bookmarkEnd w:id="323"/>
    </w:p>
    <w:p>
      <w:pPr>
        <w:pStyle w:val="4"/>
        <w:keepNext w:val="0"/>
        <w:numPr>
          <w:ilvl w:val="0"/>
          <w:numId w:val="0"/>
        </w:numPr>
        <w:ind w:firstLine="560" w:firstLineChars="200"/>
        <w:rPr>
          <w:rFonts w:ascii="Times New Roman" w:hAnsi="Times New Roman"/>
        </w:rPr>
      </w:pPr>
      <w:r>
        <w:rPr>
          <w:rFonts w:ascii="Times New Roman" w:hAnsi="Times New Roman"/>
        </w:rPr>
        <w:t>18.2.1违约情形</w:t>
      </w:r>
    </w:p>
    <w:p>
      <w:pPr>
        <w:pStyle w:val="4"/>
        <w:keepNext w:val="0"/>
        <w:numPr>
          <w:ilvl w:val="0"/>
          <w:numId w:val="0"/>
        </w:numPr>
        <w:ind w:firstLine="560" w:firstLineChars="200"/>
        <w:rPr>
          <w:rFonts w:ascii="Times New Roman" w:hAnsi="Times New Roman"/>
        </w:rPr>
      </w:pPr>
      <w:r>
        <w:rPr>
          <w:rFonts w:ascii="Times New Roman" w:hAnsi="Times New Roman"/>
        </w:rPr>
        <w:t>如发生以下情形，乙方1须承担违约责任：</w:t>
      </w:r>
    </w:p>
    <w:p>
      <w:pPr>
        <w:pStyle w:val="4"/>
        <w:keepNext w:val="0"/>
        <w:numPr>
          <w:ilvl w:val="0"/>
          <w:numId w:val="0"/>
        </w:numPr>
        <w:ind w:firstLine="560" w:firstLineChars="200"/>
        <w:rPr>
          <w:rFonts w:ascii="Times New Roman" w:hAnsi="Times New Roman"/>
        </w:rPr>
      </w:pPr>
      <w:r>
        <w:rPr>
          <w:rFonts w:ascii="Times New Roman" w:hAnsi="Times New Roman"/>
        </w:rPr>
        <w:t>（a）延迟开工、竣工。由于乙方1的原因，未能按期开工、竣工的，甲方有权每日按履约保证金的万分之二兑取履约保证金作为乙方1的违约金；</w:t>
      </w:r>
      <w:bookmarkStart w:id="324" w:name="page91"/>
      <w:bookmarkEnd w:id="324"/>
    </w:p>
    <w:p>
      <w:pPr>
        <w:pStyle w:val="4"/>
        <w:keepNext w:val="0"/>
        <w:numPr>
          <w:ilvl w:val="0"/>
          <w:numId w:val="0"/>
        </w:numPr>
        <w:ind w:firstLine="560" w:firstLineChars="200"/>
        <w:rPr>
          <w:rFonts w:ascii="Times New Roman" w:hAnsi="Times New Roman"/>
        </w:rPr>
      </w:pPr>
      <w:r>
        <w:rPr>
          <w:rFonts w:ascii="Times New Roman" w:hAnsi="Times New Roman"/>
        </w:rPr>
        <w:t>（b）竣（交）工工程质量不合格。未达到规定工程质量，应返工整改，经两次返工整改仍未达到竣（交）工验收标准，甲方有权全额兑取履约保证金作为违约金；</w:t>
      </w:r>
    </w:p>
    <w:p>
      <w:pPr>
        <w:pStyle w:val="4"/>
        <w:keepNext w:val="0"/>
        <w:numPr>
          <w:ilvl w:val="0"/>
          <w:numId w:val="0"/>
        </w:numPr>
        <w:ind w:firstLine="560" w:firstLineChars="200"/>
        <w:rPr>
          <w:rFonts w:ascii="Times New Roman" w:hAnsi="Times New Roman"/>
        </w:rPr>
      </w:pPr>
      <w:r>
        <w:rPr>
          <w:rFonts w:ascii="Times New Roman" w:hAnsi="Times New Roman"/>
        </w:rPr>
        <w:t>（c）未经甲方书面同意，乙方1擅自以项目资产设置担保或进行处置，甲方责令责任方限期解除担保或收回被处置资产，同时一次性按照担保或处置资产价值的10%向甲方支付违约金；未按限定期限解除担保或收回被处置资产，每延迟一（1）日，乙方1应按照担保或处置资产价值的1%向甲方支付违约金。</w:t>
      </w:r>
    </w:p>
    <w:p>
      <w:pPr>
        <w:pStyle w:val="4"/>
        <w:keepNext w:val="0"/>
        <w:numPr>
          <w:ilvl w:val="0"/>
          <w:numId w:val="0"/>
        </w:numPr>
        <w:ind w:firstLine="560" w:firstLineChars="200"/>
        <w:rPr>
          <w:rFonts w:ascii="Times New Roman" w:hAnsi="Times New Roman"/>
        </w:rPr>
      </w:pPr>
      <w:r>
        <w:rPr>
          <w:rFonts w:ascii="Times New Roman" w:hAnsi="Times New Roman"/>
        </w:rPr>
        <w:t>（d）除（a）-（c）外，本合同规定的其他情形。</w:t>
      </w:r>
    </w:p>
    <w:p>
      <w:pPr>
        <w:pStyle w:val="4"/>
        <w:keepNext w:val="0"/>
        <w:numPr>
          <w:ilvl w:val="0"/>
          <w:numId w:val="0"/>
        </w:numPr>
        <w:ind w:firstLine="560" w:firstLineChars="200"/>
        <w:rPr>
          <w:rFonts w:ascii="Times New Roman" w:hAnsi="Times New Roman"/>
        </w:rPr>
      </w:pPr>
      <w:r>
        <w:rPr>
          <w:rFonts w:ascii="Times New Roman" w:hAnsi="Times New Roman"/>
        </w:rPr>
        <w:t>当可兑取的履约保函不足以覆盖甲方的损失时，甲方可继续主张</w:t>
      </w:r>
      <w:r>
        <w:rPr>
          <w:rFonts w:hint="eastAsia" w:ascii="Times New Roman" w:hAnsi="Times New Roman"/>
        </w:rPr>
        <w:t>损害赔偿</w:t>
      </w:r>
      <w:r>
        <w:rPr>
          <w:rFonts w:ascii="Times New Roman" w:hAnsi="Times New Roman"/>
        </w:rPr>
        <w:t>责任。</w:t>
      </w:r>
    </w:p>
    <w:p>
      <w:pPr>
        <w:pStyle w:val="4"/>
        <w:keepNext w:val="0"/>
        <w:numPr>
          <w:ilvl w:val="0"/>
          <w:numId w:val="0"/>
        </w:numPr>
        <w:ind w:firstLine="560" w:firstLineChars="200"/>
        <w:rPr>
          <w:rFonts w:ascii="Times New Roman" w:hAnsi="Times New Roman"/>
        </w:rPr>
      </w:pPr>
      <w:r>
        <w:rPr>
          <w:rFonts w:ascii="Times New Roman" w:hAnsi="Times New Roman"/>
        </w:rPr>
        <w:t>18.2.2违约金支付</w:t>
      </w:r>
    </w:p>
    <w:p>
      <w:pPr>
        <w:pStyle w:val="4"/>
        <w:keepNext w:val="0"/>
        <w:numPr>
          <w:ilvl w:val="0"/>
          <w:numId w:val="0"/>
        </w:numPr>
        <w:ind w:firstLine="560" w:firstLineChars="200"/>
        <w:rPr>
          <w:rFonts w:ascii="Times New Roman" w:hAnsi="Times New Roman"/>
        </w:rPr>
      </w:pPr>
      <w:r>
        <w:rPr>
          <w:rFonts w:ascii="Times New Roman" w:hAnsi="Times New Roman"/>
        </w:rPr>
        <w:t>受限于本合同的其他规定，每一方应有权获得因违约方违约而使该方遭受的任何损失、支出和费用的赔偿，该项赔偿由违约方支付。该项赔偿不应超过违约方在签订投资协议及本合同时已经预见或应当预见到的因违反投资协议及本合同可能造成的损失。</w:t>
      </w:r>
    </w:p>
    <w:p>
      <w:pPr>
        <w:pStyle w:val="4"/>
        <w:keepNext w:val="0"/>
        <w:numPr>
          <w:ilvl w:val="0"/>
          <w:numId w:val="0"/>
        </w:numPr>
        <w:ind w:firstLine="560" w:firstLineChars="200"/>
        <w:rPr>
          <w:rFonts w:ascii="Times New Roman" w:hAnsi="Times New Roman"/>
        </w:rPr>
      </w:pPr>
      <w:r>
        <w:rPr>
          <w:rFonts w:ascii="Times New Roman" w:hAnsi="Times New Roman"/>
        </w:rPr>
        <w:t>18.2.3免责</w:t>
      </w:r>
    </w:p>
    <w:p>
      <w:pPr>
        <w:pStyle w:val="4"/>
        <w:keepNext w:val="0"/>
        <w:numPr>
          <w:ilvl w:val="0"/>
          <w:numId w:val="0"/>
        </w:numPr>
        <w:ind w:firstLine="560" w:firstLineChars="200"/>
        <w:rPr>
          <w:rFonts w:ascii="Times New Roman" w:hAnsi="Times New Roman"/>
        </w:rPr>
      </w:pPr>
      <w:r>
        <w:rPr>
          <w:rFonts w:ascii="Times New Roman" w:hAnsi="Times New Roman"/>
        </w:rPr>
        <w:t>如果一方证明其未履行义务是由于不可抗力造成的，则该方可根据本合同第15条规定免责。</w:t>
      </w:r>
    </w:p>
    <w:p>
      <w:pPr>
        <w:pStyle w:val="4"/>
        <w:keepNext w:val="0"/>
        <w:numPr>
          <w:ilvl w:val="0"/>
          <w:numId w:val="0"/>
        </w:numPr>
        <w:ind w:firstLine="560" w:firstLineChars="200"/>
        <w:rPr>
          <w:rFonts w:ascii="Times New Roman" w:hAnsi="Times New Roman"/>
        </w:rPr>
      </w:pPr>
      <w:r>
        <w:rPr>
          <w:rFonts w:ascii="Times New Roman" w:hAnsi="Times New Roman"/>
        </w:rPr>
        <w:t>18.2.4减轻损失的措施</w:t>
      </w:r>
    </w:p>
    <w:p>
      <w:pPr>
        <w:pStyle w:val="4"/>
        <w:keepNext w:val="0"/>
        <w:numPr>
          <w:ilvl w:val="0"/>
          <w:numId w:val="0"/>
        </w:numPr>
        <w:ind w:firstLine="560" w:firstLineChars="200"/>
        <w:rPr>
          <w:rFonts w:ascii="Times New Roman" w:hAnsi="Times New Roman"/>
        </w:rPr>
      </w:pPr>
      <w:r>
        <w:rPr>
          <w:rFonts w:ascii="Times New Roman" w:hAnsi="Times New Roman"/>
        </w:rPr>
        <w:t>（a）由于另一方违约而遭受损失或可能会遭受损失的一方应采取合理行动减轻或最大程度地减少另一方违约引起的损失。</w:t>
      </w:r>
    </w:p>
    <w:p>
      <w:pPr>
        <w:pStyle w:val="4"/>
        <w:keepNext w:val="0"/>
        <w:numPr>
          <w:ilvl w:val="0"/>
          <w:numId w:val="0"/>
        </w:numPr>
        <w:ind w:firstLine="560" w:firstLineChars="200"/>
        <w:rPr>
          <w:rFonts w:ascii="Times New Roman" w:hAnsi="Times New Roman"/>
        </w:rPr>
      </w:pPr>
      <w:r>
        <w:rPr>
          <w:rFonts w:ascii="Times New Roman" w:hAnsi="Times New Roman"/>
        </w:rPr>
        <w:t>（b）如果一方未能采取此类措施，违约方可以请求从赔偿金额中扣除本应能够减轻或减少的损失金额。</w:t>
      </w:r>
    </w:p>
    <w:p>
      <w:pPr>
        <w:pStyle w:val="4"/>
        <w:keepNext w:val="0"/>
        <w:numPr>
          <w:ilvl w:val="0"/>
          <w:numId w:val="0"/>
        </w:numPr>
        <w:ind w:firstLine="560" w:firstLineChars="200"/>
        <w:rPr>
          <w:rFonts w:ascii="Times New Roman" w:hAnsi="Times New Roman"/>
        </w:rPr>
      </w:pPr>
      <w:bookmarkStart w:id="325" w:name="page92"/>
      <w:bookmarkEnd w:id="325"/>
      <w:r>
        <w:rPr>
          <w:rFonts w:ascii="Times New Roman" w:hAnsi="Times New Roman"/>
        </w:rPr>
        <w:t>18.2.5部分由于受损害方造成的损失</w:t>
      </w:r>
    </w:p>
    <w:p>
      <w:pPr>
        <w:pStyle w:val="4"/>
        <w:keepNext w:val="0"/>
        <w:numPr>
          <w:ilvl w:val="0"/>
          <w:numId w:val="0"/>
        </w:numPr>
        <w:ind w:firstLine="560" w:firstLineChars="200"/>
        <w:rPr>
          <w:rFonts w:ascii="Times New Roman" w:hAnsi="Times New Roman"/>
        </w:rPr>
      </w:pPr>
      <w:r>
        <w:rPr>
          <w:rFonts w:ascii="Times New Roman" w:hAnsi="Times New Roman"/>
        </w:rPr>
        <w:t>如果损失的一部分是由于受损害方的作为或不作为造成的，或产生于应由受损害方承担风险的另一事件，赔偿的数额应扣除这些因素造成的损失。</w:t>
      </w:r>
    </w:p>
    <w:p>
      <w:pPr>
        <w:pStyle w:val="4"/>
        <w:keepNext w:val="0"/>
        <w:numPr>
          <w:ilvl w:val="0"/>
          <w:numId w:val="0"/>
        </w:numPr>
        <w:ind w:firstLine="560" w:firstLineChars="200"/>
        <w:rPr>
          <w:rFonts w:ascii="Times New Roman" w:hAnsi="Times New Roman"/>
        </w:rPr>
      </w:pPr>
      <w:r>
        <w:rPr>
          <w:rFonts w:ascii="Times New Roman" w:hAnsi="Times New Roman"/>
        </w:rPr>
        <w:t>18.2.6对间接损失不负责任</w:t>
      </w:r>
    </w:p>
    <w:p>
      <w:pPr>
        <w:pStyle w:val="4"/>
        <w:keepNext w:val="0"/>
        <w:numPr>
          <w:ilvl w:val="0"/>
          <w:numId w:val="0"/>
        </w:numPr>
        <w:ind w:firstLine="560" w:firstLineChars="200"/>
        <w:rPr>
          <w:rFonts w:ascii="Times New Roman" w:hAnsi="Times New Roman"/>
        </w:rPr>
      </w:pPr>
      <w:r>
        <w:rPr>
          <w:rFonts w:ascii="Times New Roman" w:hAnsi="Times New Roman"/>
        </w:rPr>
        <w:t>除非本合同另有规定，各方均不应对由于或根据本合同产生的或与其相关的任何索赔为对方的任何间接、特殊或附带损失或惩罚性损害赔偿负责。</w:t>
      </w:r>
    </w:p>
    <w:p>
      <w:pPr>
        <w:pStyle w:val="2"/>
        <w:keepNext w:val="0"/>
        <w:ind w:right="0" w:rightChars="0"/>
        <w:rPr>
          <w:rFonts w:ascii="Times New Roman" w:hAnsi="Times New Roman"/>
          <w:lang w:eastAsia="zh-CN"/>
        </w:rPr>
      </w:pPr>
      <w:bookmarkStart w:id="326" w:name="_Toc68593617"/>
      <w:bookmarkStart w:id="327" w:name="_Toc480978655"/>
      <w:bookmarkStart w:id="328" w:name="_Toc482120782"/>
      <w:r>
        <w:rPr>
          <w:rFonts w:ascii="Times New Roman" w:hAnsi="Times New Roman"/>
          <w:lang w:eastAsia="zh-CN"/>
        </w:rPr>
        <w:t xml:space="preserve">第19条  </w:t>
      </w:r>
      <w:r>
        <w:rPr>
          <w:rFonts w:hint="eastAsia" w:ascii="Times New Roman" w:hAnsi="Times New Roman"/>
          <w:lang w:eastAsia="zh-CN"/>
        </w:rPr>
        <w:t>廉政条款</w:t>
      </w:r>
      <w:bookmarkEnd w:id="326"/>
    </w:p>
    <w:p>
      <w:pPr>
        <w:pStyle w:val="3"/>
        <w:keepNext w:val="0"/>
        <w:keepLines w:val="0"/>
        <w:widowControl w:val="0"/>
        <w:numPr>
          <w:ilvl w:val="0"/>
          <w:numId w:val="0"/>
        </w:numPr>
        <w:rPr>
          <w:rFonts w:ascii="Times New Roman" w:hAnsi="Times New Roman"/>
        </w:rPr>
      </w:pPr>
      <w:bookmarkStart w:id="329" w:name="_Toc68593618"/>
      <w:r>
        <w:rPr>
          <w:rFonts w:hint="eastAsia" w:ascii="Times New Roman" w:hAnsi="Times New Roman"/>
        </w:rPr>
        <w:t>19.1  甲方责任</w:t>
      </w:r>
      <w:bookmarkEnd w:id="329"/>
    </w:p>
    <w:p>
      <w:pPr>
        <w:pStyle w:val="4"/>
        <w:keepNext w:val="0"/>
        <w:numPr>
          <w:ilvl w:val="0"/>
          <w:numId w:val="0"/>
        </w:numPr>
        <w:ind w:firstLine="560" w:firstLineChars="200"/>
        <w:rPr>
          <w:rFonts w:ascii="Times New Roman" w:hAnsi="Times New Roman"/>
        </w:rPr>
      </w:pPr>
      <w:r>
        <w:rPr>
          <w:rFonts w:hint="eastAsia" w:ascii="Times New Roman" w:hAnsi="Times New Roman"/>
        </w:rPr>
        <w:t>19.1.1甲方人员应严格遵守本单位有关廉洁合作管理的规定，不得接受乙方1或乙方2带有娱乐性质的宴请，不得接受任何形式的实物、现金或礼券。</w:t>
      </w:r>
    </w:p>
    <w:p>
      <w:pPr>
        <w:pStyle w:val="4"/>
        <w:keepNext w:val="0"/>
        <w:numPr>
          <w:ilvl w:val="0"/>
          <w:numId w:val="0"/>
        </w:numPr>
        <w:ind w:firstLine="560" w:firstLineChars="200"/>
        <w:rPr>
          <w:rFonts w:ascii="Times New Roman" w:hAnsi="Times New Roman"/>
        </w:rPr>
      </w:pPr>
      <w:r>
        <w:rPr>
          <w:rFonts w:hint="eastAsia" w:ascii="Times New Roman" w:hAnsi="Times New Roman"/>
        </w:rPr>
        <w:t>19.1.2甲方在工程项目建设期间发现相关人员任何形式的索贿行为，均应及时采取措施予以制止，并及时通报给乙方1和乙方2单位领导。</w:t>
      </w:r>
    </w:p>
    <w:p>
      <w:pPr>
        <w:pStyle w:val="4"/>
        <w:keepNext w:val="0"/>
        <w:numPr>
          <w:ilvl w:val="0"/>
          <w:numId w:val="0"/>
        </w:numPr>
        <w:ind w:firstLine="560" w:firstLineChars="200"/>
        <w:rPr>
          <w:rFonts w:ascii="Times New Roman" w:hAnsi="Times New Roman"/>
        </w:rPr>
      </w:pPr>
      <w:r>
        <w:rPr>
          <w:rFonts w:hint="eastAsia" w:ascii="Times New Roman" w:hAnsi="Times New Roman"/>
        </w:rPr>
        <w:t>19.1.3甲方人员如违反廉洁合作管理规定，甲方应视情节轻重、影响大小给予行政及经济处罚。</w:t>
      </w:r>
    </w:p>
    <w:p>
      <w:pPr>
        <w:pStyle w:val="4"/>
        <w:keepNext w:val="0"/>
        <w:numPr>
          <w:ilvl w:val="0"/>
          <w:numId w:val="0"/>
        </w:numPr>
        <w:ind w:firstLine="560" w:firstLineChars="200"/>
        <w:rPr>
          <w:rFonts w:ascii="Times New Roman" w:hAnsi="Times New Roman"/>
        </w:rPr>
      </w:pPr>
      <w:r>
        <w:rPr>
          <w:rFonts w:hint="eastAsia" w:ascii="Times New Roman" w:hAnsi="Times New Roman"/>
        </w:rPr>
        <w:t>19.1.4对于乙方1或乙方2举报甲方人员违反廉洁合作规定的情况，甲方应及时调查，根据调查情况进行严肃处理。</w:t>
      </w:r>
    </w:p>
    <w:p>
      <w:pPr>
        <w:pStyle w:val="3"/>
        <w:keepNext w:val="0"/>
        <w:keepLines w:val="0"/>
        <w:widowControl w:val="0"/>
        <w:numPr>
          <w:ilvl w:val="0"/>
          <w:numId w:val="0"/>
        </w:numPr>
        <w:rPr>
          <w:rFonts w:ascii="Times New Roman" w:hAnsi="Times New Roman"/>
        </w:rPr>
      </w:pPr>
      <w:bookmarkStart w:id="330" w:name="_Toc68593619"/>
      <w:r>
        <w:rPr>
          <w:rFonts w:hint="eastAsia" w:ascii="Times New Roman" w:hAnsi="Times New Roman"/>
        </w:rPr>
        <w:t>19.2  乙方责任</w:t>
      </w:r>
      <w:bookmarkEnd w:id="330"/>
    </w:p>
    <w:p>
      <w:pPr>
        <w:pStyle w:val="4"/>
        <w:keepNext w:val="0"/>
        <w:numPr>
          <w:ilvl w:val="0"/>
          <w:numId w:val="0"/>
        </w:numPr>
        <w:ind w:firstLine="560" w:firstLineChars="200"/>
        <w:rPr>
          <w:rFonts w:ascii="Times New Roman" w:hAnsi="Times New Roman"/>
        </w:rPr>
      </w:pPr>
      <w:r>
        <w:rPr>
          <w:rFonts w:hint="eastAsia" w:ascii="Times New Roman" w:hAnsi="Times New Roman"/>
        </w:rPr>
        <w:t>19.2.1乙方1或乙方2不得邀请甲方人员参加带有娱乐性的宴席，不得以任何形式赠送实物、现金或礼券。</w:t>
      </w:r>
    </w:p>
    <w:p>
      <w:pPr>
        <w:pStyle w:val="4"/>
        <w:keepNext w:val="0"/>
        <w:numPr>
          <w:ilvl w:val="0"/>
          <w:numId w:val="0"/>
        </w:numPr>
        <w:ind w:firstLine="560" w:firstLineChars="200"/>
        <w:rPr>
          <w:rFonts w:ascii="Times New Roman" w:hAnsi="Times New Roman"/>
        </w:rPr>
      </w:pPr>
      <w:r>
        <w:rPr>
          <w:rFonts w:hint="eastAsia" w:ascii="Times New Roman" w:hAnsi="Times New Roman"/>
        </w:rPr>
        <w:t>19.2.2乙方1或乙方2在合作期间发现相关人员任何向甲方人员行贿行为，均应及时采取措施予以制止，并及时通报给甲方。</w:t>
      </w:r>
    </w:p>
    <w:p>
      <w:pPr>
        <w:pStyle w:val="4"/>
        <w:keepNext w:val="0"/>
        <w:numPr>
          <w:ilvl w:val="0"/>
          <w:numId w:val="0"/>
        </w:numPr>
        <w:ind w:firstLine="560" w:firstLineChars="200"/>
        <w:rPr>
          <w:rFonts w:ascii="Times New Roman" w:hAnsi="Times New Roman"/>
        </w:rPr>
      </w:pPr>
      <w:r>
        <w:rPr>
          <w:rFonts w:hint="eastAsia" w:ascii="Times New Roman" w:hAnsi="Times New Roman"/>
        </w:rPr>
        <w:t>19.2.3乙方1和乙方2有责任接受甲方对乙方1和乙方2在合作期间廉洁合作管理执行情况的监督。</w:t>
      </w:r>
    </w:p>
    <w:p>
      <w:pPr>
        <w:pStyle w:val="4"/>
        <w:keepNext w:val="0"/>
        <w:numPr>
          <w:ilvl w:val="0"/>
          <w:numId w:val="0"/>
        </w:numPr>
        <w:ind w:firstLine="560" w:firstLineChars="200"/>
        <w:rPr>
          <w:rFonts w:ascii="Times New Roman" w:hAnsi="Times New Roman"/>
        </w:rPr>
      </w:pPr>
      <w:r>
        <w:rPr>
          <w:rFonts w:hint="eastAsia" w:ascii="Times New Roman" w:hAnsi="Times New Roman"/>
        </w:rPr>
        <w:t>19.2.4乙方1或乙方2人员有义务就甲方人员任何形式的索贿或受贿行为及时向甲方相关部门举报。</w:t>
      </w:r>
    </w:p>
    <w:p>
      <w:pPr>
        <w:pStyle w:val="4"/>
        <w:keepNext w:val="0"/>
        <w:numPr>
          <w:ilvl w:val="0"/>
          <w:numId w:val="0"/>
        </w:numPr>
        <w:ind w:firstLine="560" w:firstLineChars="200"/>
        <w:rPr>
          <w:rFonts w:ascii="Times New Roman" w:hAnsi="Times New Roman"/>
        </w:rPr>
      </w:pPr>
      <w:r>
        <w:rPr>
          <w:rFonts w:hint="eastAsia" w:ascii="Times New Roman" w:hAnsi="Times New Roman"/>
        </w:rPr>
        <w:t>19.2.5如因乙方1或乙方2单位及人员在合作期间贿赂甲方人员，被检查机关立案查处的，甲方有权取消或终止本协议的履行，同时乙方1或乙方2应承担由此引发的其他方面的责任。</w:t>
      </w:r>
    </w:p>
    <w:p>
      <w:pPr>
        <w:pStyle w:val="2"/>
        <w:keepNext w:val="0"/>
        <w:ind w:right="0" w:rightChars="0"/>
        <w:rPr>
          <w:rFonts w:ascii="Times New Roman" w:hAnsi="Times New Roman"/>
          <w:lang w:eastAsia="zh-CN"/>
        </w:rPr>
      </w:pPr>
      <w:bookmarkStart w:id="331" w:name="_Toc68593620"/>
      <w:r>
        <w:rPr>
          <w:rFonts w:hint="eastAsia" w:ascii="Times New Roman" w:hAnsi="Times New Roman"/>
          <w:lang w:eastAsia="zh-CN"/>
        </w:rPr>
        <w:t xml:space="preserve">第20条  </w:t>
      </w:r>
      <w:r>
        <w:rPr>
          <w:rFonts w:ascii="Times New Roman" w:hAnsi="Times New Roman"/>
          <w:lang w:eastAsia="zh-CN"/>
        </w:rPr>
        <w:t>合同的解释规则</w:t>
      </w:r>
      <w:bookmarkEnd w:id="327"/>
      <w:bookmarkEnd w:id="328"/>
      <w:bookmarkEnd w:id="331"/>
    </w:p>
    <w:p>
      <w:pPr>
        <w:pStyle w:val="3"/>
        <w:keepNext w:val="0"/>
        <w:keepLines w:val="0"/>
        <w:widowControl w:val="0"/>
        <w:numPr>
          <w:ilvl w:val="0"/>
          <w:numId w:val="0"/>
        </w:numPr>
        <w:rPr>
          <w:rFonts w:ascii="Times New Roman" w:hAnsi="Times New Roman"/>
        </w:rPr>
      </w:pPr>
      <w:bookmarkStart w:id="332" w:name="_Toc482120783"/>
      <w:bookmarkStart w:id="333" w:name="_Toc68593621"/>
      <w:r>
        <w:rPr>
          <w:rFonts w:hint="eastAsia" w:ascii="Times New Roman" w:hAnsi="Times New Roman"/>
        </w:rPr>
        <w:t>20</w:t>
      </w:r>
      <w:r>
        <w:rPr>
          <w:rFonts w:ascii="Times New Roman" w:hAnsi="Times New Roman"/>
        </w:rPr>
        <w:t>.1  合同文件</w:t>
      </w:r>
      <w:bookmarkEnd w:id="332"/>
      <w:bookmarkEnd w:id="333"/>
    </w:p>
    <w:p>
      <w:pPr>
        <w:pStyle w:val="4"/>
        <w:keepNext w:val="0"/>
        <w:numPr>
          <w:ilvl w:val="0"/>
          <w:numId w:val="0"/>
        </w:numPr>
        <w:ind w:firstLine="560" w:firstLineChars="200"/>
        <w:rPr>
          <w:rFonts w:ascii="Times New Roman" w:hAnsi="Times New Roman"/>
        </w:rPr>
      </w:pPr>
      <w:r>
        <w:rPr>
          <w:rFonts w:ascii="Times New Roman" w:hAnsi="Times New Roman"/>
        </w:rPr>
        <w:t>本合同每一份附件都应被视作本合同的一部分。</w:t>
      </w:r>
    </w:p>
    <w:p>
      <w:pPr>
        <w:pStyle w:val="3"/>
        <w:keepNext w:val="0"/>
        <w:keepLines w:val="0"/>
        <w:widowControl w:val="0"/>
        <w:numPr>
          <w:ilvl w:val="0"/>
          <w:numId w:val="0"/>
        </w:numPr>
        <w:rPr>
          <w:rFonts w:ascii="Times New Roman" w:hAnsi="Times New Roman"/>
        </w:rPr>
      </w:pPr>
      <w:bookmarkStart w:id="334" w:name="_Toc68593622"/>
      <w:bookmarkStart w:id="335" w:name="_Toc482120784"/>
      <w:r>
        <w:rPr>
          <w:rFonts w:hint="eastAsia" w:ascii="Times New Roman" w:hAnsi="Times New Roman"/>
        </w:rPr>
        <w:t>20</w:t>
      </w:r>
      <w:r>
        <w:rPr>
          <w:rFonts w:ascii="Times New Roman" w:hAnsi="Times New Roman"/>
        </w:rPr>
        <w:t>.2  修改</w:t>
      </w:r>
      <w:bookmarkEnd w:id="334"/>
      <w:bookmarkEnd w:id="335"/>
    </w:p>
    <w:p>
      <w:pPr>
        <w:pStyle w:val="4"/>
        <w:keepNext w:val="0"/>
        <w:numPr>
          <w:ilvl w:val="0"/>
          <w:numId w:val="0"/>
        </w:numPr>
        <w:ind w:firstLine="560" w:firstLineChars="200"/>
        <w:rPr>
          <w:rFonts w:ascii="Times New Roman" w:hAnsi="Times New Roman"/>
        </w:rPr>
      </w:pPr>
      <w:r>
        <w:rPr>
          <w:rFonts w:ascii="Times New Roman" w:hAnsi="Times New Roman"/>
        </w:rPr>
        <w:t>本合同任何修改、补充或变更只有以书面形式并由双方法定代表人或授权代表签字方可生效并具约束力。</w:t>
      </w:r>
    </w:p>
    <w:p>
      <w:pPr>
        <w:pStyle w:val="3"/>
        <w:keepNext w:val="0"/>
        <w:keepLines w:val="0"/>
        <w:widowControl w:val="0"/>
        <w:numPr>
          <w:ilvl w:val="0"/>
          <w:numId w:val="0"/>
        </w:numPr>
        <w:rPr>
          <w:rFonts w:ascii="Times New Roman" w:hAnsi="Times New Roman"/>
        </w:rPr>
      </w:pPr>
      <w:bookmarkStart w:id="336" w:name="_Toc68593623"/>
      <w:bookmarkStart w:id="337" w:name="_Toc482120785"/>
      <w:r>
        <w:rPr>
          <w:rFonts w:hint="eastAsia" w:ascii="Times New Roman" w:hAnsi="Times New Roman"/>
        </w:rPr>
        <w:t>20</w:t>
      </w:r>
      <w:r>
        <w:rPr>
          <w:rFonts w:ascii="Times New Roman" w:hAnsi="Times New Roman"/>
        </w:rPr>
        <w:t>.3  可分割性</w:t>
      </w:r>
      <w:bookmarkEnd w:id="336"/>
      <w:bookmarkEnd w:id="337"/>
    </w:p>
    <w:p>
      <w:pPr>
        <w:pStyle w:val="4"/>
        <w:keepNext w:val="0"/>
        <w:numPr>
          <w:ilvl w:val="0"/>
          <w:numId w:val="0"/>
        </w:numPr>
        <w:ind w:firstLine="560" w:firstLineChars="200"/>
        <w:rPr>
          <w:rFonts w:ascii="Times New Roman" w:hAnsi="Times New Roman"/>
        </w:rPr>
      </w:pPr>
      <w:r>
        <w:rPr>
          <w:rFonts w:ascii="Times New Roman" w:hAnsi="Times New Roman"/>
        </w:rPr>
        <w:t>如果本合同中任何条款不合法、无效或不能执行，或者被任何有管辖权的司法机构认定为不合法、无效或不能执行，则其他条款仍然有效和可执行；并且双方应商定对不合法、无效或不能执行的条款进行修改或更换，使之合法、有效并可执行，并且这些修改或更改应尽可能恰如其分地平衡双方之间的利益、权利和义务。</w:t>
      </w:r>
    </w:p>
    <w:p>
      <w:pPr>
        <w:pStyle w:val="3"/>
        <w:keepNext w:val="0"/>
        <w:keepLines w:val="0"/>
        <w:widowControl w:val="0"/>
        <w:numPr>
          <w:ilvl w:val="0"/>
          <w:numId w:val="0"/>
        </w:numPr>
        <w:rPr>
          <w:rFonts w:ascii="Times New Roman" w:hAnsi="Times New Roman"/>
        </w:rPr>
      </w:pPr>
      <w:bookmarkStart w:id="338" w:name="_Toc482120786"/>
      <w:bookmarkStart w:id="339" w:name="_Toc68593624"/>
      <w:r>
        <w:rPr>
          <w:rFonts w:hint="eastAsia" w:ascii="Times New Roman" w:hAnsi="Times New Roman"/>
        </w:rPr>
        <w:t>20</w:t>
      </w:r>
      <w:r>
        <w:rPr>
          <w:rFonts w:ascii="Times New Roman" w:hAnsi="Times New Roman"/>
        </w:rPr>
        <w:t>.4  合同构成</w:t>
      </w:r>
      <w:bookmarkEnd w:id="338"/>
      <w:bookmarkEnd w:id="339"/>
    </w:p>
    <w:p>
      <w:pPr>
        <w:pStyle w:val="4"/>
        <w:keepNext w:val="0"/>
        <w:numPr>
          <w:ilvl w:val="0"/>
          <w:numId w:val="0"/>
        </w:numPr>
        <w:ind w:firstLine="560" w:firstLineChars="200"/>
        <w:rPr>
          <w:rFonts w:ascii="Times New Roman" w:hAnsi="Times New Roman"/>
        </w:rPr>
      </w:pPr>
      <w:bookmarkStart w:id="340" w:name="page93"/>
      <w:bookmarkEnd w:id="340"/>
      <w:r>
        <w:rPr>
          <w:rFonts w:hint="eastAsia" w:ascii="Times New Roman" w:hAnsi="Times New Roman"/>
        </w:rPr>
        <w:t>20</w:t>
      </w:r>
      <w:r>
        <w:rPr>
          <w:rFonts w:ascii="Times New Roman" w:hAnsi="Times New Roman"/>
        </w:rPr>
        <w:t>.4.1本合同包括:</w:t>
      </w:r>
    </w:p>
    <w:p>
      <w:pPr>
        <w:pStyle w:val="4"/>
        <w:keepNext w:val="0"/>
        <w:numPr>
          <w:ilvl w:val="0"/>
          <w:numId w:val="0"/>
        </w:numPr>
        <w:ind w:firstLine="560" w:firstLineChars="200"/>
        <w:rPr>
          <w:rFonts w:ascii="Times New Roman" w:hAnsi="Times New Roman"/>
        </w:rPr>
      </w:pPr>
      <w:r>
        <w:rPr>
          <w:rFonts w:ascii="Times New Roman" w:hAnsi="Times New Roman"/>
        </w:rPr>
        <w:t>（a）双方于本项目建设期、运营期、移交保证期内以书面形式签署的补充和修正文件等书面协议或文件；</w:t>
      </w:r>
    </w:p>
    <w:p>
      <w:pPr>
        <w:pStyle w:val="4"/>
        <w:keepNext w:val="0"/>
        <w:numPr>
          <w:ilvl w:val="0"/>
          <w:numId w:val="0"/>
        </w:numPr>
        <w:ind w:firstLine="560" w:firstLineChars="200"/>
        <w:rPr>
          <w:rFonts w:ascii="Times New Roman" w:hAnsi="Times New Roman"/>
        </w:rPr>
      </w:pPr>
      <w:r>
        <w:rPr>
          <w:rFonts w:ascii="Times New Roman" w:hAnsi="Times New Roman"/>
        </w:rPr>
        <w:t>（b）本合同正文、附件；</w:t>
      </w:r>
    </w:p>
    <w:p>
      <w:pPr>
        <w:pStyle w:val="4"/>
        <w:keepNext w:val="0"/>
        <w:numPr>
          <w:ilvl w:val="0"/>
          <w:numId w:val="0"/>
        </w:numPr>
        <w:ind w:firstLine="560" w:firstLineChars="200"/>
        <w:rPr>
          <w:rFonts w:ascii="Times New Roman" w:hAnsi="Times New Roman"/>
        </w:rPr>
      </w:pPr>
      <w:r>
        <w:rPr>
          <w:rFonts w:ascii="Times New Roman" w:hAnsi="Times New Roman"/>
        </w:rPr>
        <w:t>（c）中标通知书；</w:t>
      </w:r>
    </w:p>
    <w:p>
      <w:pPr>
        <w:pStyle w:val="4"/>
        <w:keepNext w:val="0"/>
        <w:numPr>
          <w:ilvl w:val="0"/>
          <w:numId w:val="0"/>
        </w:numPr>
        <w:ind w:firstLine="560" w:firstLineChars="200"/>
        <w:rPr>
          <w:rFonts w:ascii="Times New Roman" w:hAnsi="Times New Roman"/>
        </w:rPr>
      </w:pPr>
      <w:r>
        <w:rPr>
          <w:rFonts w:ascii="Times New Roman" w:hAnsi="Times New Roman"/>
        </w:rPr>
        <w:t>（d）招标文件（含招标文件、澄清勘误及补充通知）；</w:t>
      </w:r>
    </w:p>
    <w:p>
      <w:pPr>
        <w:pStyle w:val="4"/>
        <w:keepNext w:val="0"/>
        <w:numPr>
          <w:ilvl w:val="0"/>
          <w:numId w:val="0"/>
        </w:numPr>
        <w:ind w:firstLine="560" w:firstLineChars="200"/>
        <w:rPr>
          <w:rFonts w:ascii="Times New Roman" w:hAnsi="Times New Roman"/>
        </w:rPr>
      </w:pPr>
      <w:r>
        <w:rPr>
          <w:rFonts w:ascii="Times New Roman" w:hAnsi="Times New Roman"/>
        </w:rPr>
        <w:t>（e）投标文件（含投标人在评标期间递交和确认并经招标人同意的对有关问题的补充资料和澄清文件等</w:t>
      </w:r>
      <w:r>
        <w:rPr>
          <w:rFonts w:hint="eastAsia" w:ascii="Times New Roman" w:hAnsi="Times New Roman"/>
        </w:rPr>
        <w:t>，</w:t>
      </w:r>
      <w:r>
        <w:rPr>
          <w:rFonts w:ascii="Times New Roman" w:hAnsi="Times New Roman"/>
        </w:rPr>
        <w:t>但不包括不为招标人所接受的偏差意见，如果有）；</w:t>
      </w:r>
    </w:p>
    <w:p>
      <w:pPr>
        <w:pStyle w:val="4"/>
        <w:keepNext w:val="0"/>
        <w:numPr>
          <w:ilvl w:val="0"/>
          <w:numId w:val="0"/>
        </w:numPr>
        <w:ind w:firstLine="560" w:firstLineChars="200"/>
        <w:rPr>
          <w:rFonts w:ascii="Times New Roman" w:hAnsi="Times New Roman"/>
        </w:rPr>
      </w:pPr>
      <w:r>
        <w:rPr>
          <w:rFonts w:ascii="Times New Roman" w:hAnsi="Times New Roman"/>
        </w:rPr>
        <w:t>（f）双方约定的构成本合同组成部分的其他文件。</w:t>
      </w:r>
    </w:p>
    <w:p>
      <w:pPr>
        <w:pStyle w:val="4"/>
        <w:keepNext w:val="0"/>
        <w:numPr>
          <w:ilvl w:val="0"/>
          <w:numId w:val="0"/>
        </w:numPr>
        <w:ind w:firstLine="560" w:firstLineChars="200"/>
        <w:rPr>
          <w:rFonts w:ascii="Times New Roman" w:hAnsi="Times New Roman"/>
        </w:rPr>
      </w:pPr>
      <w:r>
        <w:rPr>
          <w:rFonts w:hint="eastAsia" w:ascii="Times New Roman" w:hAnsi="Times New Roman"/>
        </w:rPr>
        <w:t>20</w:t>
      </w:r>
      <w:r>
        <w:rPr>
          <w:rFonts w:ascii="Times New Roman" w:hAnsi="Times New Roman"/>
        </w:rPr>
        <w:t>.4.2优先次序</w:t>
      </w:r>
    </w:p>
    <w:p>
      <w:pPr>
        <w:pStyle w:val="4"/>
        <w:keepNext w:val="0"/>
        <w:numPr>
          <w:ilvl w:val="0"/>
          <w:numId w:val="0"/>
        </w:numPr>
        <w:ind w:firstLine="560" w:firstLineChars="200"/>
        <w:rPr>
          <w:rFonts w:ascii="Times New Roman" w:hAnsi="Times New Roman"/>
        </w:rPr>
      </w:pPr>
      <w:r>
        <w:rPr>
          <w:rFonts w:ascii="Times New Roman" w:hAnsi="Times New Roman"/>
        </w:rPr>
        <w:t>前款所列文件形成一个整体,互相补充,若有不明确或不一致之处,以第</w:t>
      </w:r>
      <w:r>
        <w:rPr>
          <w:rFonts w:hint="eastAsia" w:ascii="Times New Roman" w:hAnsi="Times New Roman"/>
        </w:rPr>
        <w:t>20</w:t>
      </w:r>
      <w:r>
        <w:rPr>
          <w:rFonts w:ascii="Times New Roman" w:hAnsi="Times New Roman"/>
        </w:rPr>
        <w:t>.4.1条所列次序在先者为准。同一顺序中的文件有不同约定的,以签署日期在后的文件为准。但甲、乙双方另有约定的除外。</w:t>
      </w:r>
    </w:p>
    <w:p>
      <w:pPr>
        <w:widowControl/>
        <w:jc w:val="left"/>
        <w:rPr>
          <w:rFonts w:ascii="Times New Roman" w:hAnsi="Times New Roman"/>
          <w:bCs/>
          <w:sz w:val="28"/>
          <w:szCs w:val="32"/>
        </w:rPr>
      </w:pPr>
      <w:r>
        <w:rPr>
          <w:rFonts w:ascii="Times New Roman" w:hAnsi="Times New Roman"/>
        </w:rPr>
        <w:br w:type="page"/>
      </w:r>
    </w:p>
    <w:p>
      <w:pPr>
        <w:pStyle w:val="2"/>
        <w:keepNext w:val="0"/>
        <w:ind w:right="0" w:rightChars="0"/>
        <w:rPr>
          <w:rFonts w:ascii="Times New Roman" w:hAnsi="Times New Roman"/>
          <w:lang w:eastAsia="zh-CN"/>
        </w:rPr>
      </w:pPr>
      <w:bookmarkStart w:id="341" w:name="_Toc482120787"/>
      <w:bookmarkStart w:id="342" w:name="_Toc480978656"/>
      <w:bookmarkStart w:id="343" w:name="_Toc68593625"/>
      <w:r>
        <w:rPr>
          <w:rFonts w:ascii="Times New Roman" w:hAnsi="Times New Roman"/>
          <w:lang w:eastAsia="zh-CN"/>
        </w:rPr>
        <w:t>第2</w:t>
      </w:r>
      <w:r>
        <w:rPr>
          <w:rFonts w:hint="eastAsia" w:ascii="Times New Roman" w:hAnsi="Times New Roman"/>
          <w:lang w:eastAsia="zh-CN"/>
        </w:rPr>
        <w:t>1</w:t>
      </w:r>
      <w:r>
        <w:rPr>
          <w:rFonts w:ascii="Times New Roman" w:hAnsi="Times New Roman"/>
          <w:lang w:eastAsia="zh-CN"/>
        </w:rPr>
        <w:t>条  保密</w:t>
      </w:r>
      <w:bookmarkEnd w:id="341"/>
      <w:bookmarkEnd w:id="342"/>
      <w:bookmarkEnd w:id="343"/>
    </w:p>
    <w:p>
      <w:pPr>
        <w:pStyle w:val="4"/>
        <w:keepNext w:val="0"/>
        <w:numPr>
          <w:ilvl w:val="0"/>
          <w:numId w:val="0"/>
        </w:numPr>
        <w:ind w:firstLine="560" w:firstLineChars="200"/>
        <w:rPr>
          <w:rFonts w:ascii="Times New Roman" w:hAnsi="Times New Roman"/>
        </w:rPr>
      </w:pPr>
      <w:r>
        <w:rPr>
          <w:rFonts w:ascii="Times New Roman" w:hAnsi="Times New Roman"/>
        </w:rPr>
        <w:t>双方对本合同及相关文件均负有保密责任，但甲方为充分满足公共监督要求的情况除外。</w:t>
      </w:r>
    </w:p>
    <w:p>
      <w:pPr>
        <w:pStyle w:val="4"/>
        <w:keepNext w:val="0"/>
        <w:numPr>
          <w:ilvl w:val="0"/>
          <w:numId w:val="0"/>
        </w:numPr>
        <w:ind w:firstLine="560" w:firstLineChars="200"/>
        <w:rPr>
          <w:rFonts w:ascii="Times New Roman" w:hAnsi="Times New Roman"/>
        </w:rPr>
      </w:pPr>
      <w:r>
        <w:rPr>
          <w:rFonts w:ascii="Times New Roman" w:hAnsi="Times New Roman"/>
        </w:rPr>
        <w:t>甲方不得将乙方1提供的财务报表和技术资料等内容向第三方公布，但为满足公共监督要求而必须公布的信息除外。</w:t>
      </w:r>
      <w:bookmarkStart w:id="344" w:name="page94"/>
      <w:bookmarkEnd w:id="344"/>
      <w:r>
        <w:rPr>
          <w:rFonts w:ascii="Times New Roman" w:hAnsi="Times New Roman"/>
        </w:rPr>
        <w:t>乙方1因上市需求而披露的除外。</w:t>
      </w:r>
    </w:p>
    <w:p>
      <w:pPr>
        <w:pStyle w:val="2"/>
        <w:keepNext w:val="0"/>
        <w:ind w:right="0" w:rightChars="0"/>
        <w:rPr>
          <w:rFonts w:ascii="Times New Roman" w:hAnsi="Times New Roman"/>
          <w:lang w:eastAsia="zh-CN"/>
        </w:rPr>
      </w:pPr>
      <w:bookmarkStart w:id="345" w:name="_Toc482120788"/>
      <w:bookmarkStart w:id="346" w:name="_Toc68593626"/>
      <w:bookmarkStart w:id="347" w:name="_Toc480978657"/>
      <w:r>
        <w:rPr>
          <w:rFonts w:ascii="Times New Roman" w:hAnsi="Times New Roman"/>
          <w:lang w:eastAsia="zh-CN"/>
        </w:rPr>
        <w:t>第2</w:t>
      </w:r>
      <w:r>
        <w:rPr>
          <w:rFonts w:hint="eastAsia" w:ascii="Times New Roman" w:hAnsi="Times New Roman"/>
          <w:lang w:eastAsia="zh-CN"/>
        </w:rPr>
        <w:t>2</w:t>
      </w:r>
      <w:r>
        <w:rPr>
          <w:rFonts w:ascii="Times New Roman" w:hAnsi="Times New Roman"/>
          <w:lang w:eastAsia="zh-CN"/>
        </w:rPr>
        <w:t>条  合作义务和预先警告通知</w:t>
      </w:r>
      <w:bookmarkEnd w:id="345"/>
      <w:bookmarkEnd w:id="346"/>
      <w:bookmarkEnd w:id="347"/>
    </w:p>
    <w:p>
      <w:pPr>
        <w:pStyle w:val="4"/>
        <w:keepNext w:val="0"/>
        <w:numPr>
          <w:ilvl w:val="0"/>
          <w:numId w:val="0"/>
        </w:numPr>
        <w:ind w:firstLine="560" w:firstLineChars="200"/>
        <w:rPr>
          <w:rFonts w:ascii="Times New Roman" w:hAnsi="Times New Roman"/>
        </w:rPr>
      </w:pPr>
      <w:r>
        <w:rPr>
          <w:rFonts w:ascii="Times New Roman" w:hAnsi="Times New Roman"/>
        </w:rPr>
        <w:t>双方应相互合作以达到本合同的目的，并应善意地行使和履行其在本合同项下的权利和义务。在此前提下，双方同意：</w:t>
      </w:r>
    </w:p>
    <w:p>
      <w:pPr>
        <w:pStyle w:val="4"/>
        <w:keepNext w:val="0"/>
        <w:numPr>
          <w:ilvl w:val="0"/>
          <w:numId w:val="0"/>
        </w:numPr>
        <w:ind w:firstLine="560" w:firstLineChars="200"/>
        <w:rPr>
          <w:rFonts w:ascii="Times New Roman" w:hAnsi="Times New Roman"/>
        </w:rPr>
      </w:pPr>
      <w:r>
        <w:rPr>
          <w:rFonts w:ascii="Times New Roman" w:hAnsi="Times New Roman"/>
        </w:rPr>
        <w:t>（a）当一方要求取得另一方的同意或批准时，被要求方不可以无理拒绝或迟延给予该等同意或批准；并且</w:t>
      </w:r>
    </w:p>
    <w:p>
      <w:pPr>
        <w:pStyle w:val="4"/>
        <w:keepNext w:val="0"/>
        <w:numPr>
          <w:ilvl w:val="0"/>
          <w:numId w:val="0"/>
        </w:numPr>
        <w:ind w:firstLine="560" w:firstLineChars="200"/>
        <w:rPr>
          <w:rFonts w:ascii="Times New Roman" w:hAnsi="Times New Roman"/>
        </w:rPr>
      </w:pPr>
      <w:r>
        <w:rPr>
          <w:rFonts w:ascii="Times New Roman" w:hAnsi="Times New Roman"/>
        </w:rPr>
        <w:t>（b）如果任何一方获悉任何以下事件或情形：合理地预计该事件或情形将对任何一方履行其本合同项下的义务或实施本项目的能力造成重大不利影响；并且合理地预计另一方不能获悉该事件或情形；</w:t>
      </w:r>
    </w:p>
    <w:p>
      <w:pPr>
        <w:pStyle w:val="4"/>
        <w:keepNext w:val="0"/>
        <w:numPr>
          <w:ilvl w:val="0"/>
          <w:numId w:val="0"/>
        </w:numPr>
        <w:ind w:firstLine="560" w:firstLineChars="200"/>
        <w:rPr>
          <w:rFonts w:ascii="Times New Roman" w:hAnsi="Times New Roman"/>
        </w:rPr>
      </w:pPr>
      <w:r>
        <w:rPr>
          <w:rFonts w:ascii="Times New Roman" w:hAnsi="Times New Roman"/>
        </w:rPr>
        <w:t>该方应尽快将该事件或情形通知另一方。</w:t>
      </w:r>
    </w:p>
    <w:p>
      <w:pPr>
        <w:pStyle w:val="2"/>
        <w:keepNext w:val="0"/>
        <w:ind w:right="0" w:rightChars="0"/>
        <w:rPr>
          <w:rFonts w:ascii="Times New Roman" w:hAnsi="Times New Roman"/>
          <w:lang w:eastAsia="zh-CN"/>
        </w:rPr>
      </w:pPr>
      <w:bookmarkStart w:id="348" w:name="_Toc480978658"/>
      <w:bookmarkStart w:id="349" w:name="_Toc482120789"/>
      <w:bookmarkStart w:id="350" w:name="_Toc68593627"/>
      <w:r>
        <w:rPr>
          <w:rFonts w:ascii="Times New Roman" w:hAnsi="Times New Roman"/>
          <w:lang w:eastAsia="zh-CN"/>
        </w:rPr>
        <w:t>第2</w:t>
      </w:r>
      <w:r>
        <w:rPr>
          <w:rFonts w:hint="eastAsia" w:ascii="Times New Roman" w:hAnsi="Times New Roman"/>
          <w:lang w:eastAsia="zh-CN"/>
        </w:rPr>
        <w:t>3</w:t>
      </w:r>
      <w:r>
        <w:rPr>
          <w:rFonts w:ascii="Times New Roman" w:hAnsi="Times New Roman"/>
          <w:lang w:eastAsia="zh-CN"/>
        </w:rPr>
        <w:t>条  通知与送达</w:t>
      </w:r>
      <w:bookmarkEnd w:id="348"/>
      <w:bookmarkEnd w:id="349"/>
      <w:bookmarkEnd w:id="350"/>
    </w:p>
    <w:p>
      <w:pPr>
        <w:pStyle w:val="3"/>
        <w:keepNext w:val="0"/>
        <w:keepLines w:val="0"/>
        <w:widowControl w:val="0"/>
        <w:numPr>
          <w:ilvl w:val="0"/>
          <w:numId w:val="0"/>
        </w:numPr>
        <w:rPr>
          <w:rFonts w:ascii="Times New Roman" w:hAnsi="Times New Roman"/>
        </w:rPr>
      </w:pPr>
      <w:bookmarkStart w:id="351" w:name="_Toc482120790"/>
      <w:bookmarkStart w:id="352" w:name="_Toc68593628"/>
      <w:r>
        <w:rPr>
          <w:rFonts w:ascii="Times New Roman" w:hAnsi="Times New Roman"/>
        </w:rPr>
        <w:t>2</w:t>
      </w:r>
      <w:r>
        <w:rPr>
          <w:rFonts w:hint="eastAsia" w:ascii="Times New Roman" w:hAnsi="Times New Roman"/>
        </w:rPr>
        <w:t>3</w:t>
      </w:r>
      <w:r>
        <w:rPr>
          <w:rFonts w:ascii="Times New Roman" w:hAnsi="Times New Roman"/>
        </w:rPr>
        <w:t>.1  地址</w:t>
      </w:r>
      <w:bookmarkEnd w:id="351"/>
      <w:bookmarkEnd w:id="352"/>
    </w:p>
    <w:p>
      <w:pPr>
        <w:pStyle w:val="4"/>
        <w:keepNext w:val="0"/>
        <w:numPr>
          <w:ilvl w:val="0"/>
          <w:numId w:val="0"/>
        </w:numPr>
        <w:ind w:firstLine="560" w:firstLineChars="200"/>
        <w:rPr>
          <w:rFonts w:ascii="Times New Roman" w:hAnsi="Times New Roman"/>
        </w:rPr>
      </w:pPr>
      <w:r>
        <w:rPr>
          <w:rFonts w:ascii="Times New Roman" w:hAnsi="Times New Roman"/>
        </w:rPr>
        <w:t>本合同项下的通知、同意或其他通讯联系必须以中文书写，并通过专人递交、公认的国际快递、挂号或传真按下述地址，或各方通知的其他地址或传真号码。</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3189"/>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99" w:type="pct"/>
            <w:vAlign w:val="center"/>
          </w:tcPr>
          <w:p>
            <w:pPr>
              <w:pStyle w:val="4"/>
              <w:keepNext w:val="0"/>
              <w:numPr>
                <w:ilvl w:val="0"/>
                <w:numId w:val="0"/>
              </w:numPr>
              <w:snapToGrid w:val="0"/>
              <w:spacing w:before="0" w:beforeAutospacing="0" w:after="0" w:afterAutospacing="0"/>
              <w:jc w:val="center"/>
              <w:rPr>
                <w:rFonts w:ascii="Times New Roman" w:hAnsi="Times New Roman"/>
              </w:rPr>
            </w:pPr>
          </w:p>
        </w:tc>
        <w:tc>
          <w:tcPr>
            <w:tcW w:w="1799" w:type="pct"/>
            <w:vAlign w:val="center"/>
          </w:tcPr>
          <w:p>
            <w:pPr>
              <w:snapToGrid w:val="0"/>
              <w:spacing w:line="360" w:lineRule="auto"/>
              <w:jc w:val="center"/>
              <w:rPr>
                <w:rFonts w:ascii="Times New Roman" w:hAnsi="Times New Roman"/>
                <w:sz w:val="28"/>
                <w:szCs w:val="28"/>
              </w:rPr>
            </w:pPr>
            <w:r>
              <w:rPr>
                <w:rFonts w:ascii="Times New Roman" w:hAnsi="Times New Roman"/>
                <w:sz w:val="28"/>
                <w:szCs w:val="28"/>
              </w:rPr>
              <w:t>甲方</w:t>
            </w:r>
          </w:p>
        </w:tc>
        <w:tc>
          <w:tcPr>
            <w:tcW w:w="1902" w:type="pct"/>
            <w:vAlign w:val="center"/>
          </w:tcPr>
          <w:p>
            <w:pPr>
              <w:snapToGrid w:val="0"/>
              <w:spacing w:line="360" w:lineRule="auto"/>
              <w:jc w:val="center"/>
              <w:rPr>
                <w:rFonts w:ascii="Times New Roman" w:hAnsi="Times New Roman"/>
                <w:sz w:val="28"/>
                <w:szCs w:val="28"/>
              </w:rPr>
            </w:pPr>
            <w:r>
              <w:rPr>
                <w:rFonts w:ascii="Times New Roman" w:hAnsi="Times New Roman"/>
                <w:sz w:val="28"/>
                <w:szCs w:val="28"/>
              </w:rPr>
              <w:t>乙方1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99" w:type="pct"/>
            <w:vAlign w:val="center"/>
          </w:tcPr>
          <w:p>
            <w:pPr>
              <w:snapToGrid w:val="0"/>
              <w:spacing w:line="360" w:lineRule="auto"/>
              <w:jc w:val="center"/>
              <w:rPr>
                <w:rFonts w:ascii="Times New Roman" w:hAnsi="Times New Roman"/>
                <w:sz w:val="28"/>
                <w:szCs w:val="28"/>
              </w:rPr>
            </w:pPr>
            <w:r>
              <w:rPr>
                <w:rFonts w:ascii="Times New Roman" w:hAnsi="Times New Roman"/>
                <w:sz w:val="28"/>
                <w:szCs w:val="28"/>
              </w:rPr>
              <w:t>地址</w:t>
            </w:r>
          </w:p>
        </w:tc>
        <w:tc>
          <w:tcPr>
            <w:tcW w:w="1799" w:type="pct"/>
            <w:vAlign w:val="center"/>
          </w:tcPr>
          <w:p>
            <w:pPr>
              <w:snapToGrid w:val="0"/>
              <w:spacing w:line="360" w:lineRule="auto"/>
              <w:jc w:val="center"/>
              <w:rPr>
                <w:rFonts w:ascii="Times New Roman" w:hAnsi="Times New Roman"/>
                <w:sz w:val="28"/>
                <w:szCs w:val="28"/>
              </w:rPr>
            </w:pPr>
          </w:p>
        </w:tc>
        <w:tc>
          <w:tcPr>
            <w:tcW w:w="1902" w:type="pct"/>
            <w:vAlign w:val="center"/>
          </w:tcPr>
          <w:p>
            <w:pPr>
              <w:snapToGrid w:val="0"/>
              <w:spacing w:line="36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99" w:type="pct"/>
            <w:vAlign w:val="center"/>
          </w:tcPr>
          <w:p>
            <w:pPr>
              <w:snapToGrid w:val="0"/>
              <w:spacing w:line="360" w:lineRule="auto"/>
              <w:jc w:val="center"/>
              <w:rPr>
                <w:rFonts w:ascii="Times New Roman" w:hAnsi="Times New Roman"/>
                <w:sz w:val="28"/>
                <w:szCs w:val="28"/>
              </w:rPr>
            </w:pPr>
            <w:r>
              <w:rPr>
                <w:rFonts w:ascii="Times New Roman" w:hAnsi="Times New Roman"/>
                <w:sz w:val="28"/>
                <w:szCs w:val="28"/>
              </w:rPr>
              <w:t>收件人</w:t>
            </w:r>
          </w:p>
        </w:tc>
        <w:tc>
          <w:tcPr>
            <w:tcW w:w="1799" w:type="pct"/>
            <w:vAlign w:val="center"/>
          </w:tcPr>
          <w:p>
            <w:pPr>
              <w:snapToGrid w:val="0"/>
              <w:spacing w:line="360" w:lineRule="auto"/>
              <w:jc w:val="center"/>
              <w:rPr>
                <w:rFonts w:ascii="Times New Roman" w:hAnsi="Times New Roman"/>
                <w:sz w:val="28"/>
                <w:szCs w:val="28"/>
              </w:rPr>
            </w:pPr>
          </w:p>
        </w:tc>
        <w:tc>
          <w:tcPr>
            <w:tcW w:w="1902" w:type="pct"/>
            <w:vAlign w:val="center"/>
          </w:tcPr>
          <w:p>
            <w:pPr>
              <w:snapToGrid w:val="0"/>
              <w:spacing w:line="36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99" w:type="pct"/>
            <w:vAlign w:val="center"/>
          </w:tcPr>
          <w:p>
            <w:pPr>
              <w:snapToGrid w:val="0"/>
              <w:spacing w:line="360" w:lineRule="auto"/>
              <w:jc w:val="center"/>
              <w:rPr>
                <w:rFonts w:ascii="Times New Roman" w:hAnsi="Times New Roman"/>
                <w:sz w:val="28"/>
                <w:szCs w:val="28"/>
              </w:rPr>
            </w:pPr>
            <w:r>
              <w:rPr>
                <w:rFonts w:ascii="Times New Roman" w:hAnsi="Times New Roman"/>
                <w:sz w:val="28"/>
                <w:szCs w:val="28"/>
              </w:rPr>
              <w:t>电话</w:t>
            </w:r>
          </w:p>
        </w:tc>
        <w:tc>
          <w:tcPr>
            <w:tcW w:w="1799" w:type="pct"/>
            <w:vAlign w:val="center"/>
          </w:tcPr>
          <w:p>
            <w:pPr>
              <w:snapToGrid w:val="0"/>
              <w:spacing w:line="360" w:lineRule="auto"/>
              <w:jc w:val="center"/>
              <w:rPr>
                <w:rFonts w:ascii="Times New Roman" w:hAnsi="Times New Roman"/>
                <w:sz w:val="28"/>
                <w:szCs w:val="28"/>
              </w:rPr>
            </w:pPr>
          </w:p>
        </w:tc>
        <w:tc>
          <w:tcPr>
            <w:tcW w:w="1902" w:type="pct"/>
            <w:vAlign w:val="center"/>
          </w:tcPr>
          <w:p>
            <w:pPr>
              <w:snapToGrid w:val="0"/>
              <w:spacing w:line="36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99" w:type="pct"/>
            <w:vAlign w:val="center"/>
          </w:tcPr>
          <w:p>
            <w:pPr>
              <w:snapToGrid w:val="0"/>
              <w:spacing w:line="360" w:lineRule="auto"/>
              <w:jc w:val="center"/>
              <w:rPr>
                <w:rFonts w:ascii="Times New Roman" w:hAnsi="Times New Roman"/>
                <w:sz w:val="28"/>
                <w:szCs w:val="28"/>
              </w:rPr>
            </w:pPr>
            <w:r>
              <w:rPr>
                <w:rFonts w:ascii="Times New Roman" w:hAnsi="Times New Roman"/>
                <w:sz w:val="28"/>
                <w:szCs w:val="28"/>
              </w:rPr>
              <w:t>传真</w:t>
            </w:r>
          </w:p>
        </w:tc>
        <w:tc>
          <w:tcPr>
            <w:tcW w:w="1799" w:type="pct"/>
            <w:vAlign w:val="center"/>
          </w:tcPr>
          <w:p>
            <w:pPr>
              <w:snapToGrid w:val="0"/>
              <w:spacing w:line="360" w:lineRule="auto"/>
              <w:jc w:val="center"/>
              <w:rPr>
                <w:rFonts w:ascii="Times New Roman" w:hAnsi="Times New Roman"/>
                <w:sz w:val="28"/>
                <w:szCs w:val="28"/>
              </w:rPr>
            </w:pPr>
          </w:p>
        </w:tc>
        <w:tc>
          <w:tcPr>
            <w:tcW w:w="1902" w:type="pct"/>
            <w:vAlign w:val="center"/>
          </w:tcPr>
          <w:p>
            <w:pPr>
              <w:snapToGrid w:val="0"/>
              <w:spacing w:line="360" w:lineRule="auto"/>
              <w:jc w:val="center"/>
              <w:rPr>
                <w:rFonts w:ascii="Times New Roman" w:hAnsi="Times New Roman"/>
                <w:sz w:val="28"/>
                <w:szCs w:val="28"/>
              </w:rPr>
            </w:pPr>
          </w:p>
        </w:tc>
      </w:tr>
    </w:tbl>
    <w:p>
      <w:pPr>
        <w:pStyle w:val="3"/>
        <w:keepNext w:val="0"/>
        <w:keepLines w:val="0"/>
        <w:widowControl w:val="0"/>
        <w:numPr>
          <w:ilvl w:val="0"/>
          <w:numId w:val="0"/>
        </w:numPr>
        <w:rPr>
          <w:rFonts w:ascii="Times New Roman" w:hAnsi="Times New Roman"/>
        </w:rPr>
      </w:pPr>
      <w:bookmarkStart w:id="353" w:name="_Toc68593629"/>
      <w:bookmarkStart w:id="354" w:name="_Toc482120791"/>
      <w:r>
        <w:rPr>
          <w:rFonts w:ascii="Times New Roman" w:hAnsi="Times New Roman"/>
        </w:rPr>
        <w:t>2</w:t>
      </w:r>
      <w:r>
        <w:rPr>
          <w:rFonts w:hint="eastAsia" w:ascii="Times New Roman" w:hAnsi="Times New Roman"/>
        </w:rPr>
        <w:t>3</w:t>
      </w:r>
      <w:r>
        <w:rPr>
          <w:rFonts w:ascii="Times New Roman" w:hAnsi="Times New Roman"/>
        </w:rPr>
        <w:t>.2  地址改变的及时通知</w:t>
      </w:r>
      <w:bookmarkEnd w:id="353"/>
      <w:bookmarkEnd w:id="354"/>
    </w:p>
    <w:p>
      <w:pPr>
        <w:pStyle w:val="4"/>
        <w:keepNext w:val="0"/>
        <w:numPr>
          <w:ilvl w:val="0"/>
          <w:numId w:val="0"/>
        </w:numPr>
        <w:ind w:firstLine="560" w:firstLineChars="200"/>
        <w:rPr>
          <w:rFonts w:ascii="Times New Roman" w:hAnsi="Times New Roman"/>
        </w:rPr>
      </w:pPr>
      <w:r>
        <w:rPr>
          <w:rFonts w:ascii="Times New Roman" w:hAnsi="Times New Roman"/>
        </w:rPr>
        <w:t>如果甲方或乙方1更改第2</w:t>
      </w:r>
      <w:r>
        <w:rPr>
          <w:rFonts w:hint="eastAsia" w:ascii="Times New Roman" w:hAnsi="Times New Roman"/>
        </w:rPr>
        <w:t>3</w:t>
      </w:r>
      <w:r>
        <w:rPr>
          <w:rFonts w:ascii="Times New Roman" w:hAnsi="Times New Roman"/>
        </w:rPr>
        <w:t>.1条款所述的任何具体内容，更改方必须在新的通讯方式变更之日起三个工作日内以书面形式通知对方，否则按照原通讯方式进行的送达视为有效。</w:t>
      </w:r>
    </w:p>
    <w:p>
      <w:pPr>
        <w:pStyle w:val="3"/>
        <w:keepNext w:val="0"/>
        <w:keepLines w:val="0"/>
        <w:widowControl w:val="0"/>
        <w:numPr>
          <w:ilvl w:val="0"/>
          <w:numId w:val="0"/>
        </w:numPr>
        <w:rPr>
          <w:rFonts w:ascii="Times New Roman" w:hAnsi="Times New Roman"/>
        </w:rPr>
      </w:pPr>
      <w:bookmarkStart w:id="355" w:name="_Toc482120792"/>
      <w:bookmarkStart w:id="356" w:name="_Toc68593630"/>
      <w:r>
        <w:rPr>
          <w:rFonts w:ascii="Times New Roman" w:hAnsi="Times New Roman"/>
        </w:rPr>
        <w:t>2</w:t>
      </w:r>
      <w:r>
        <w:rPr>
          <w:rFonts w:hint="eastAsia" w:ascii="Times New Roman" w:hAnsi="Times New Roman"/>
        </w:rPr>
        <w:t>3</w:t>
      </w:r>
      <w:r>
        <w:rPr>
          <w:rFonts w:ascii="Times New Roman" w:hAnsi="Times New Roman"/>
        </w:rPr>
        <w:t>.3  送达</w:t>
      </w:r>
      <w:bookmarkEnd w:id="355"/>
      <w:bookmarkEnd w:id="356"/>
    </w:p>
    <w:p>
      <w:pPr>
        <w:pStyle w:val="4"/>
        <w:keepNext w:val="0"/>
        <w:numPr>
          <w:ilvl w:val="0"/>
          <w:numId w:val="0"/>
        </w:numPr>
        <w:ind w:firstLine="560" w:firstLineChars="200"/>
        <w:rPr>
          <w:rFonts w:ascii="Times New Roman" w:hAnsi="Times New Roman"/>
        </w:rPr>
      </w:pPr>
      <w:r>
        <w:rPr>
          <w:rFonts w:ascii="Times New Roman" w:hAnsi="Times New Roman"/>
        </w:rPr>
        <w:t>合同项下要求的或允许的向任何一方作出的所有通知、要求、指令和其他通讯应以书面形式做出并且应由发出通知的一方或其代表签署。通知应采用传真方式、或专人递送方式，或邮资预付的挂号信方式或特种快递方式递送至第2</w:t>
      </w:r>
      <w:r>
        <w:rPr>
          <w:rFonts w:hint="eastAsia" w:ascii="Times New Roman" w:hAnsi="Times New Roman"/>
        </w:rPr>
        <w:t>3</w:t>
      </w:r>
      <w:r>
        <w:rPr>
          <w:rFonts w:ascii="Times New Roman" w:hAnsi="Times New Roman"/>
        </w:rPr>
        <w:t>.1款中所列的地址或传真号码（或按照本条的规定正式通知的其他地址或传真号码）。以专人递送、传真或邮寄方式发送的通知应视为已在以下时间有效送达：</w:t>
      </w:r>
    </w:p>
    <w:p>
      <w:pPr>
        <w:pStyle w:val="4"/>
        <w:keepNext w:val="0"/>
        <w:numPr>
          <w:ilvl w:val="0"/>
          <w:numId w:val="0"/>
        </w:numPr>
        <w:ind w:firstLine="560" w:firstLineChars="200"/>
        <w:rPr>
          <w:rFonts w:ascii="Times New Roman" w:hAnsi="Times New Roman"/>
        </w:rPr>
      </w:pPr>
      <w:r>
        <w:rPr>
          <w:rFonts w:ascii="Times New Roman" w:hAnsi="Times New Roman"/>
        </w:rPr>
        <w:t>（a）通过专人递送的，在对方签收时；对方拒绝签收的，经两名工作人员证明，拒签之日即为送达日；</w:t>
      </w:r>
    </w:p>
    <w:p>
      <w:pPr>
        <w:pStyle w:val="4"/>
        <w:keepNext w:val="0"/>
        <w:numPr>
          <w:ilvl w:val="0"/>
          <w:numId w:val="0"/>
        </w:numPr>
        <w:ind w:firstLine="560" w:firstLineChars="200"/>
        <w:rPr>
          <w:rFonts w:ascii="Times New Roman" w:hAnsi="Times New Roman"/>
        </w:rPr>
      </w:pPr>
      <w:r>
        <w:rPr>
          <w:rFonts w:ascii="Times New Roman" w:hAnsi="Times New Roman"/>
        </w:rPr>
        <w:t>（b）通过传真发送的，自文件进入对方数据系统且未被退回当日，如为非工作日则顺延至第一个工作日；</w:t>
      </w:r>
    </w:p>
    <w:p>
      <w:pPr>
        <w:pStyle w:val="4"/>
        <w:keepNext w:val="0"/>
        <w:numPr>
          <w:ilvl w:val="0"/>
          <w:numId w:val="0"/>
        </w:numPr>
        <w:ind w:firstLine="560" w:firstLineChars="200"/>
        <w:rPr>
          <w:rFonts w:ascii="Times New Roman" w:hAnsi="Times New Roman"/>
        </w:rPr>
      </w:pPr>
      <w:r>
        <w:rPr>
          <w:rFonts w:ascii="Times New Roman" w:hAnsi="Times New Roman"/>
        </w:rPr>
        <w:t>（c）以邮资预付的挂号信形式（要求有查收回执）发送的，于投邮后第五（5）个工作日下午五（5）时；</w:t>
      </w:r>
    </w:p>
    <w:p>
      <w:pPr>
        <w:pStyle w:val="4"/>
        <w:keepNext w:val="0"/>
        <w:numPr>
          <w:ilvl w:val="0"/>
          <w:numId w:val="0"/>
        </w:numPr>
        <w:ind w:firstLine="560" w:firstLineChars="200"/>
        <w:rPr>
          <w:rFonts w:ascii="Times New Roman" w:hAnsi="Times New Roman"/>
        </w:rPr>
      </w:pPr>
      <w:r>
        <w:rPr>
          <w:rFonts w:ascii="Times New Roman" w:hAnsi="Times New Roman"/>
        </w:rPr>
        <w:t>（d）特种快递方式发送的，于投邮后第三（3）个工作日上午九（9）时。</w:t>
      </w:r>
    </w:p>
    <w:p>
      <w:pPr>
        <w:pStyle w:val="4"/>
        <w:keepNext w:val="0"/>
        <w:numPr>
          <w:ilvl w:val="0"/>
          <w:numId w:val="0"/>
        </w:numPr>
        <w:ind w:firstLine="560" w:firstLineChars="200"/>
        <w:rPr>
          <w:rFonts w:ascii="Times New Roman" w:hAnsi="Times New Roman"/>
        </w:rPr>
      </w:pPr>
      <w:bookmarkStart w:id="357" w:name="page96"/>
      <w:bookmarkEnd w:id="357"/>
      <w:r>
        <w:rPr>
          <w:rFonts w:ascii="Times New Roman" w:hAnsi="Times New Roman"/>
        </w:rPr>
        <w:t>任何一方不得以拒绝签收、无人签收、地址变更等理由否定送达效力；一方同时采取多种送达方式的，自最先到达的日期为送达日。</w:t>
      </w:r>
    </w:p>
    <w:p>
      <w:pPr>
        <w:pStyle w:val="2"/>
        <w:keepNext w:val="0"/>
        <w:ind w:right="0" w:rightChars="0"/>
        <w:rPr>
          <w:rFonts w:ascii="Times New Roman" w:hAnsi="Times New Roman"/>
          <w:lang w:eastAsia="zh-CN"/>
        </w:rPr>
      </w:pPr>
      <w:bookmarkStart w:id="358" w:name="_Toc482120793"/>
      <w:bookmarkStart w:id="359" w:name="_Toc68593631"/>
      <w:bookmarkStart w:id="360" w:name="_Toc480978659"/>
      <w:r>
        <w:rPr>
          <w:rFonts w:ascii="Times New Roman" w:hAnsi="Times New Roman"/>
          <w:lang w:eastAsia="zh-CN"/>
        </w:rPr>
        <w:t>第2</w:t>
      </w:r>
      <w:r>
        <w:rPr>
          <w:rFonts w:hint="eastAsia" w:ascii="Times New Roman" w:hAnsi="Times New Roman"/>
          <w:lang w:eastAsia="zh-CN"/>
        </w:rPr>
        <w:t>4</w:t>
      </w:r>
      <w:r>
        <w:rPr>
          <w:rFonts w:ascii="Times New Roman" w:hAnsi="Times New Roman"/>
          <w:lang w:eastAsia="zh-CN"/>
        </w:rPr>
        <w:t>条  合同文字和文本</w:t>
      </w:r>
      <w:bookmarkEnd w:id="358"/>
      <w:bookmarkEnd w:id="359"/>
      <w:bookmarkEnd w:id="360"/>
    </w:p>
    <w:p>
      <w:pPr>
        <w:pStyle w:val="4"/>
        <w:keepNext w:val="0"/>
        <w:numPr>
          <w:ilvl w:val="0"/>
          <w:numId w:val="0"/>
        </w:numPr>
        <w:ind w:firstLine="560" w:firstLineChars="200"/>
        <w:rPr>
          <w:rFonts w:ascii="Times New Roman" w:hAnsi="Times New Roman"/>
        </w:rPr>
      </w:pPr>
      <w:r>
        <w:rPr>
          <w:rFonts w:ascii="Times New Roman" w:hAnsi="Times New Roman"/>
        </w:rPr>
        <w:t>本合同以中文订正本一式   （  ）份。甲乙双方各执（  ）份，有关行政主管部门备案    （ ）份。</w:t>
      </w:r>
    </w:p>
    <w:p>
      <w:pPr>
        <w:pStyle w:val="2"/>
        <w:keepNext w:val="0"/>
        <w:ind w:right="0" w:rightChars="0"/>
        <w:rPr>
          <w:rFonts w:ascii="Times New Roman" w:hAnsi="Times New Roman"/>
          <w:lang w:eastAsia="zh-CN"/>
        </w:rPr>
      </w:pPr>
      <w:bookmarkStart w:id="361" w:name="_Toc480978660"/>
      <w:bookmarkStart w:id="362" w:name="_Toc482120794"/>
      <w:bookmarkStart w:id="363" w:name="_Toc68593632"/>
      <w:r>
        <w:rPr>
          <w:rFonts w:ascii="Times New Roman" w:hAnsi="Times New Roman"/>
          <w:lang w:eastAsia="zh-CN"/>
        </w:rPr>
        <w:t>第2</w:t>
      </w:r>
      <w:r>
        <w:rPr>
          <w:rFonts w:hint="eastAsia" w:ascii="Times New Roman" w:hAnsi="Times New Roman"/>
          <w:lang w:eastAsia="zh-CN"/>
        </w:rPr>
        <w:t>5</w:t>
      </w:r>
      <w:r>
        <w:rPr>
          <w:rFonts w:ascii="Times New Roman" w:hAnsi="Times New Roman"/>
          <w:lang w:eastAsia="zh-CN"/>
        </w:rPr>
        <w:t>条  合同效力</w:t>
      </w:r>
      <w:bookmarkEnd w:id="361"/>
      <w:bookmarkEnd w:id="362"/>
      <w:bookmarkEnd w:id="363"/>
    </w:p>
    <w:p>
      <w:pPr>
        <w:spacing w:line="360" w:lineRule="auto"/>
        <w:ind w:left="708" w:hanging="708" w:hangingChars="252"/>
        <w:rPr>
          <w:rFonts w:ascii="Times New Roman" w:hAnsi="Times New Roman"/>
          <w:b/>
          <w:sz w:val="28"/>
          <w:szCs w:val="28"/>
        </w:rPr>
      </w:pPr>
      <w:r>
        <w:rPr>
          <w:rFonts w:ascii="Times New Roman" w:hAnsi="Times New Roman"/>
          <w:b/>
          <w:bCs/>
          <w:sz w:val="28"/>
          <w:szCs w:val="32"/>
        </w:rPr>
        <w:t>2</w:t>
      </w:r>
      <w:r>
        <w:rPr>
          <w:rFonts w:hint="eastAsia" w:ascii="Times New Roman" w:hAnsi="Times New Roman"/>
          <w:b/>
          <w:bCs/>
          <w:sz w:val="28"/>
          <w:szCs w:val="32"/>
        </w:rPr>
        <w:t>5</w:t>
      </w:r>
      <w:r>
        <w:rPr>
          <w:rFonts w:ascii="Times New Roman" w:hAnsi="Times New Roman"/>
          <w:b/>
          <w:bCs/>
          <w:sz w:val="28"/>
          <w:szCs w:val="32"/>
        </w:rPr>
        <w:t>.1</w:t>
      </w:r>
      <w:r>
        <w:rPr>
          <w:rFonts w:ascii="Times New Roman" w:hAnsi="Times New Roman"/>
          <w:b/>
          <w:sz w:val="28"/>
          <w:szCs w:val="28"/>
        </w:rPr>
        <w:t>本合同由双方法定代表人或其授权代表签署并加盖单位公章后生效。</w:t>
      </w:r>
    </w:p>
    <w:p>
      <w:pPr>
        <w:spacing w:line="360" w:lineRule="auto"/>
        <w:jc w:val="left"/>
        <w:rPr>
          <w:rFonts w:ascii="Times New Roman" w:hAnsi="Times New Roman"/>
          <w:b/>
          <w:sz w:val="28"/>
          <w:szCs w:val="28"/>
        </w:rPr>
      </w:pPr>
      <w:r>
        <w:rPr>
          <w:rFonts w:ascii="Times New Roman" w:hAnsi="Times New Roman"/>
          <w:b/>
          <w:bCs/>
          <w:sz w:val="28"/>
          <w:szCs w:val="32"/>
        </w:rPr>
        <w:t>2</w:t>
      </w:r>
      <w:r>
        <w:rPr>
          <w:rFonts w:hint="eastAsia" w:ascii="Times New Roman" w:hAnsi="Times New Roman"/>
          <w:b/>
          <w:bCs/>
          <w:sz w:val="28"/>
          <w:szCs w:val="32"/>
        </w:rPr>
        <w:t>5</w:t>
      </w:r>
      <w:r>
        <w:rPr>
          <w:rFonts w:ascii="Times New Roman" w:hAnsi="Times New Roman"/>
          <w:b/>
          <w:bCs/>
          <w:sz w:val="28"/>
          <w:szCs w:val="32"/>
        </w:rPr>
        <w:t xml:space="preserve">.2  </w:t>
      </w:r>
      <w:r>
        <w:rPr>
          <w:rFonts w:ascii="Times New Roman" w:hAnsi="Times New Roman"/>
          <w:b/>
          <w:sz w:val="28"/>
          <w:szCs w:val="28"/>
        </w:rPr>
        <w:t>本合同在下列情形终止履行：</w:t>
      </w:r>
    </w:p>
    <w:p>
      <w:pPr>
        <w:pStyle w:val="4"/>
        <w:keepNext w:val="0"/>
        <w:numPr>
          <w:ilvl w:val="0"/>
          <w:numId w:val="0"/>
        </w:numPr>
        <w:ind w:firstLine="560" w:firstLineChars="200"/>
        <w:rPr>
          <w:rFonts w:ascii="Times New Roman" w:hAnsi="Times New Roman"/>
        </w:rPr>
      </w:pPr>
      <w:r>
        <w:rPr>
          <w:rFonts w:ascii="Times New Roman" w:hAnsi="Times New Roman"/>
        </w:rPr>
        <w:t>2</w:t>
      </w:r>
      <w:r>
        <w:rPr>
          <w:rFonts w:hint="eastAsia" w:ascii="Times New Roman" w:hAnsi="Times New Roman"/>
        </w:rPr>
        <w:t>5</w:t>
      </w:r>
      <w:r>
        <w:rPr>
          <w:rFonts w:ascii="Times New Roman" w:hAnsi="Times New Roman"/>
        </w:rPr>
        <w:t>.2.1特许经营期届满且各方合同义务均已履行完毕；</w:t>
      </w:r>
    </w:p>
    <w:p>
      <w:pPr>
        <w:pStyle w:val="4"/>
        <w:keepNext w:val="0"/>
        <w:numPr>
          <w:ilvl w:val="0"/>
          <w:numId w:val="0"/>
        </w:numPr>
        <w:ind w:firstLine="560" w:firstLineChars="200"/>
        <w:rPr>
          <w:rFonts w:ascii="Times New Roman" w:hAnsi="Times New Roman"/>
        </w:rPr>
      </w:pPr>
      <w:r>
        <w:rPr>
          <w:rFonts w:ascii="Times New Roman" w:hAnsi="Times New Roman"/>
        </w:rPr>
        <w:t>2</w:t>
      </w:r>
      <w:r>
        <w:rPr>
          <w:rFonts w:hint="eastAsia" w:ascii="Times New Roman" w:hAnsi="Times New Roman"/>
        </w:rPr>
        <w:t>5</w:t>
      </w:r>
      <w:r>
        <w:rPr>
          <w:rFonts w:ascii="Times New Roman" w:hAnsi="Times New Roman"/>
        </w:rPr>
        <w:t>.2.2本合同特许经营权提前终止情形下，在下列事项了结后本合同自动提前终止：</w:t>
      </w:r>
    </w:p>
    <w:p>
      <w:pPr>
        <w:pStyle w:val="4"/>
        <w:keepNext w:val="0"/>
        <w:numPr>
          <w:ilvl w:val="0"/>
          <w:numId w:val="0"/>
        </w:numPr>
        <w:ind w:firstLine="560" w:firstLineChars="200"/>
        <w:rPr>
          <w:rFonts w:ascii="Times New Roman" w:hAnsi="Times New Roman"/>
        </w:rPr>
      </w:pPr>
      <w:r>
        <w:rPr>
          <w:rFonts w:ascii="Times New Roman" w:hAnsi="Times New Roman"/>
        </w:rPr>
        <w:t>（a）本合同项下的债务（若有）支付完毕；</w:t>
      </w:r>
    </w:p>
    <w:p>
      <w:pPr>
        <w:pStyle w:val="4"/>
        <w:keepNext w:val="0"/>
        <w:numPr>
          <w:ilvl w:val="0"/>
          <w:numId w:val="0"/>
        </w:numPr>
        <w:ind w:firstLine="560" w:firstLineChars="200"/>
        <w:rPr>
          <w:rFonts w:ascii="Times New Roman" w:hAnsi="Times New Roman"/>
        </w:rPr>
      </w:pPr>
      <w:r>
        <w:rPr>
          <w:rFonts w:ascii="Times New Roman" w:hAnsi="Times New Roman"/>
        </w:rPr>
        <w:t>（b）办理完毕全部法定手续；</w:t>
      </w:r>
    </w:p>
    <w:p>
      <w:pPr>
        <w:pStyle w:val="4"/>
        <w:keepNext w:val="0"/>
        <w:numPr>
          <w:ilvl w:val="0"/>
          <w:numId w:val="0"/>
        </w:numPr>
        <w:ind w:firstLine="560" w:firstLineChars="200"/>
        <w:rPr>
          <w:rFonts w:ascii="Times New Roman" w:hAnsi="Times New Roman"/>
          <w:szCs w:val="28"/>
        </w:rPr>
      </w:pPr>
      <w:r>
        <w:rPr>
          <w:rFonts w:ascii="Times New Roman" w:hAnsi="Times New Roman"/>
        </w:rPr>
        <w:t>（c）甲方向乙方1支付全部特许经营权提前终止后的补偿。</w:t>
      </w:r>
    </w:p>
    <w:p>
      <w:pPr>
        <w:pStyle w:val="2"/>
        <w:keepNext w:val="0"/>
        <w:ind w:right="0" w:rightChars="0"/>
        <w:rPr>
          <w:rFonts w:ascii="Times New Roman" w:hAnsi="Times New Roman"/>
          <w:lang w:eastAsia="zh-CN"/>
        </w:rPr>
      </w:pPr>
      <w:bookmarkStart w:id="364" w:name="_Toc480978661"/>
      <w:bookmarkStart w:id="365" w:name="_Toc482120795"/>
      <w:bookmarkStart w:id="366" w:name="_Toc68593633"/>
      <w:r>
        <w:rPr>
          <w:rFonts w:ascii="Times New Roman" w:hAnsi="Times New Roman"/>
          <w:lang w:eastAsia="zh-CN"/>
        </w:rPr>
        <w:t>第2</w:t>
      </w:r>
      <w:r>
        <w:rPr>
          <w:rFonts w:hint="eastAsia" w:ascii="Times New Roman" w:hAnsi="Times New Roman"/>
          <w:lang w:eastAsia="zh-CN"/>
        </w:rPr>
        <w:t>6</w:t>
      </w:r>
      <w:r>
        <w:rPr>
          <w:rFonts w:ascii="Times New Roman" w:hAnsi="Times New Roman"/>
          <w:lang w:eastAsia="zh-CN"/>
        </w:rPr>
        <w:t>条  争议的解决</w:t>
      </w:r>
      <w:bookmarkEnd w:id="364"/>
      <w:bookmarkEnd w:id="365"/>
      <w:bookmarkEnd w:id="366"/>
    </w:p>
    <w:p>
      <w:pPr>
        <w:pStyle w:val="3"/>
        <w:keepNext w:val="0"/>
        <w:keepLines w:val="0"/>
        <w:widowControl w:val="0"/>
        <w:numPr>
          <w:ilvl w:val="0"/>
          <w:numId w:val="0"/>
        </w:numPr>
        <w:rPr>
          <w:rFonts w:ascii="Times New Roman" w:hAnsi="Times New Roman"/>
        </w:rPr>
      </w:pPr>
      <w:bookmarkStart w:id="367" w:name="_Toc482120796"/>
      <w:bookmarkStart w:id="368" w:name="_Toc68593634"/>
      <w:r>
        <w:rPr>
          <w:rFonts w:ascii="Times New Roman" w:hAnsi="Times New Roman"/>
        </w:rPr>
        <w:t>2</w:t>
      </w:r>
      <w:r>
        <w:rPr>
          <w:rFonts w:hint="eastAsia" w:ascii="Times New Roman" w:hAnsi="Times New Roman"/>
        </w:rPr>
        <w:t>6</w:t>
      </w:r>
      <w:r>
        <w:rPr>
          <w:rFonts w:ascii="Times New Roman" w:hAnsi="Times New Roman"/>
        </w:rPr>
        <w:t>.1友好协商</w:t>
      </w:r>
      <w:bookmarkEnd w:id="367"/>
      <w:bookmarkEnd w:id="368"/>
      <w:bookmarkStart w:id="369" w:name="page97"/>
      <w:bookmarkEnd w:id="369"/>
    </w:p>
    <w:p>
      <w:pPr>
        <w:pStyle w:val="4"/>
        <w:keepNext w:val="0"/>
        <w:numPr>
          <w:ilvl w:val="0"/>
          <w:numId w:val="0"/>
        </w:numPr>
        <w:ind w:firstLine="560" w:firstLineChars="200"/>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.1.1若双方对于由于投资协议及本合同条款或与投资协议及本合同有关的条款的解释，包括关于其存在、有效或终止的任何问题产生的任何争议、分歧或索赔，则应尽力通过协商友好解决。</w:t>
      </w:r>
    </w:p>
    <w:p>
      <w:pPr>
        <w:pStyle w:val="4"/>
        <w:keepNext w:val="0"/>
        <w:numPr>
          <w:ilvl w:val="0"/>
          <w:numId w:val="0"/>
        </w:numPr>
        <w:ind w:firstLine="560" w:firstLineChars="200"/>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.1.2除本合同另有规定，若在尝试友好协商解决后六十（60）日内该争议未能根据第</w:t>
      </w:r>
      <w:r>
        <w:fldChar w:fldCharType="begin"/>
      </w:r>
      <w:r>
        <w:instrText xml:space="preserve"> HYPERLINK \l "page92" </w:instrText>
      </w:r>
      <w:r>
        <w:fldChar w:fldCharType="separate"/>
      </w:r>
      <w:r>
        <w:rPr>
          <w:rFonts w:ascii="Times New Roman" w:hAnsi="Times New Roman"/>
        </w:rPr>
        <w:t>2</w:t>
      </w:r>
      <w:r>
        <w:rPr>
          <w:rFonts w:hint="eastAsia" w:ascii="Times New Roman" w:hAnsi="Times New Roman"/>
        </w:rPr>
        <w:t>6</w:t>
      </w:r>
      <w:r>
        <w:rPr>
          <w:rFonts w:ascii="Times New Roman" w:hAnsi="Times New Roman"/>
        </w:rPr>
        <w:t>.1.</w:t>
      </w:r>
      <w:r>
        <w:rPr>
          <w:rFonts w:ascii="Times New Roman" w:hAnsi="Times New Roman"/>
        </w:rPr>
        <w:fldChar w:fldCharType="end"/>
      </w:r>
      <w:r>
        <w:rPr>
          <w:rFonts w:ascii="Times New Roman" w:hAnsi="Times New Roman"/>
        </w:rPr>
        <w:t>1条款得到解决，则应适用第2</w:t>
      </w:r>
      <w:r>
        <w:rPr>
          <w:rFonts w:hint="eastAsia" w:ascii="Times New Roman" w:hAnsi="Times New Roman"/>
        </w:rPr>
        <w:t>6</w:t>
      </w:r>
      <w:r>
        <w:rPr>
          <w:rFonts w:ascii="Times New Roman" w:hAnsi="Times New Roman"/>
        </w:rPr>
        <w:t>.2条款的规定。</w:t>
      </w:r>
    </w:p>
    <w:p>
      <w:pPr>
        <w:pStyle w:val="3"/>
        <w:keepNext w:val="0"/>
        <w:keepLines w:val="0"/>
        <w:widowControl w:val="0"/>
        <w:numPr>
          <w:ilvl w:val="0"/>
          <w:numId w:val="0"/>
        </w:numPr>
        <w:rPr>
          <w:rFonts w:ascii="Times New Roman" w:hAnsi="Times New Roman"/>
        </w:rPr>
      </w:pPr>
      <w:bookmarkStart w:id="370" w:name="_Toc68593635"/>
      <w:r>
        <w:rPr>
          <w:rFonts w:ascii="Times New Roman" w:hAnsi="Times New Roman"/>
        </w:rPr>
        <w:t>2</w:t>
      </w:r>
      <w:r>
        <w:rPr>
          <w:rFonts w:hint="eastAsia" w:ascii="Times New Roman" w:hAnsi="Times New Roman"/>
        </w:rPr>
        <w:t>6</w:t>
      </w:r>
      <w:r>
        <w:rPr>
          <w:rFonts w:ascii="Times New Roman" w:hAnsi="Times New Roman"/>
        </w:rPr>
        <w:t>.2 诉讼</w:t>
      </w:r>
      <w:bookmarkEnd w:id="370"/>
    </w:p>
    <w:p>
      <w:pPr>
        <w:pStyle w:val="4"/>
        <w:keepNext w:val="0"/>
        <w:numPr>
          <w:ilvl w:val="0"/>
          <w:numId w:val="0"/>
        </w:numPr>
        <w:ind w:firstLine="560" w:firstLineChars="200"/>
        <w:rPr>
          <w:rFonts w:ascii="Times New Roman" w:hAnsi="Times New Roman"/>
        </w:rPr>
      </w:pPr>
      <w:r>
        <w:rPr>
          <w:rFonts w:ascii="Times New Roman" w:hAnsi="Times New Roman"/>
        </w:rPr>
        <w:t>若双方未能根据第2</w:t>
      </w:r>
      <w:r>
        <w:rPr>
          <w:rFonts w:hint="eastAsia" w:ascii="Times New Roman" w:hAnsi="Times New Roman"/>
        </w:rPr>
        <w:t>6</w:t>
      </w:r>
      <w:r>
        <w:rPr>
          <w:rFonts w:ascii="Times New Roman" w:hAnsi="Times New Roman"/>
        </w:rPr>
        <w:t>.1条款解决争议、分歧或索赔，则任何一方有权向甲方所在地有管辖权的人民法院提起诉讼。</w:t>
      </w:r>
    </w:p>
    <w:p>
      <w:pPr>
        <w:pStyle w:val="3"/>
        <w:keepNext w:val="0"/>
        <w:keepLines w:val="0"/>
        <w:widowControl w:val="0"/>
        <w:numPr>
          <w:ilvl w:val="0"/>
          <w:numId w:val="0"/>
        </w:numPr>
        <w:rPr>
          <w:rFonts w:ascii="Times New Roman" w:hAnsi="Times New Roman"/>
        </w:rPr>
      </w:pPr>
      <w:bookmarkStart w:id="371" w:name="_Toc68593636"/>
      <w:r>
        <w:rPr>
          <w:rFonts w:ascii="Times New Roman" w:hAnsi="Times New Roman"/>
        </w:rPr>
        <w:t>2</w:t>
      </w:r>
      <w:r>
        <w:rPr>
          <w:rFonts w:hint="eastAsia" w:ascii="Times New Roman" w:hAnsi="Times New Roman"/>
        </w:rPr>
        <w:t>6</w:t>
      </w:r>
      <w:r>
        <w:rPr>
          <w:rFonts w:ascii="Times New Roman" w:hAnsi="Times New Roman"/>
        </w:rPr>
        <w:t>.3争议解决期间本合同的履行</w:t>
      </w:r>
      <w:bookmarkEnd w:id="371"/>
    </w:p>
    <w:p>
      <w:pPr>
        <w:pStyle w:val="4"/>
        <w:keepNext w:val="0"/>
        <w:numPr>
          <w:ilvl w:val="0"/>
          <w:numId w:val="0"/>
        </w:numPr>
        <w:ind w:firstLine="560" w:firstLineChars="200"/>
        <w:rPr>
          <w:rFonts w:ascii="Times New Roman" w:hAnsi="Times New Roman"/>
        </w:rPr>
      </w:pPr>
      <w:r>
        <w:rPr>
          <w:rFonts w:ascii="Times New Roman" w:hAnsi="Times New Roman"/>
        </w:rPr>
        <w:t>除非本合同另有规定，在对争议、分歧或索赔乃至诉讼以后，直至法院作出最终判决之前，争议各方应继续履行其在本合同项下的所有义务并继续享有其在本合同项下的所有权利（与争议事项有关的义务和权利除外），而不影响以后根据最终判决结果进行各方权利、义务和责任的最终调整。</w:t>
      </w:r>
      <w:bookmarkStart w:id="372" w:name="page98"/>
      <w:bookmarkEnd w:id="372"/>
    </w:p>
    <w:p>
      <w:pPr>
        <w:spacing w:line="360" w:lineRule="auto"/>
        <w:rPr>
          <w:rFonts w:ascii="Times New Roman" w:hAnsi="Times New Roman"/>
          <w:sz w:val="32"/>
          <w:szCs w:val="32"/>
        </w:rPr>
      </w:pPr>
      <w:r>
        <w:rPr>
          <w:rFonts w:ascii="Times New Roman" w:hAnsi="Times New Roman"/>
          <w:sz w:val="28"/>
          <w:szCs w:val="28"/>
        </w:rPr>
        <w:br w:type="page"/>
      </w:r>
      <w:r>
        <w:rPr>
          <w:rFonts w:ascii="Times New Roman" w:hAnsi="Times New Roman"/>
          <w:sz w:val="32"/>
          <w:szCs w:val="32"/>
        </w:rPr>
        <w:t>（此页无正文,签字盖章页）</w:t>
      </w:r>
    </w:p>
    <w:p>
      <w:pPr>
        <w:spacing w:line="360" w:lineRule="auto"/>
        <w:rPr>
          <w:rFonts w:ascii="Times New Roman" w:hAnsi="Times New Roman"/>
          <w:sz w:val="32"/>
          <w:szCs w:val="32"/>
        </w:rPr>
      </w:pPr>
    </w:p>
    <w:p>
      <w:pPr>
        <w:spacing w:line="360" w:lineRule="auto"/>
        <w:rPr>
          <w:rFonts w:ascii="Times New Roman" w:hAnsi="Times New Roman"/>
          <w:sz w:val="32"/>
          <w:szCs w:val="32"/>
        </w:rPr>
      </w:pPr>
      <w:r>
        <w:rPr>
          <w:rFonts w:ascii="Times New Roman" w:hAnsi="Times New Roman"/>
          <w:sz w:val="32"/>
          <w:szCs w:val="32"/>
        </w:rPr>
        <w:t>甲方（盖章）：</w:t>
      </w:r>
    </w:p>
    <w:p>
      <w:pPr>
        <w:spacing w:line="360" w:lineRule="auto"/>
        <w:rPr>
          <w:rFonts w:ascii="Times New Roman" w:hAnsi="Times New Roman"/>
          <w:sz w:val="32"/>
          <w:szCs w:val="32"/>
        </w:rPr>
      </w:pPr>
      <w:r>
        <w:rPr>
          <w:rFonts w:ascii="Times New Roman" w:hAnsi="Times New Roman"/>
          <w:sz w:val="32"/>
          <w:szCs w:val="32"/>
        </w:rPr>
        <w:t xml:space="preserve">甲方法定代表人/授权代表：                 </w:t>
      </w:r>
    </w:p>
    <w:p>
      <w:pPr>
        <w:spacing w:line="360" w:lineRule="auto"/>
        <w:rPr>
          <w:rFonts w:ascii="Times New Roman" w:hAnsi="Times New Roman"/>
          <w:sz w:val="32"/>
          <w:szCs w:val="32"/>
        </w:rPr>
      </w:pPr>
      <w:r>
        <w:rPr>
          <w:rFonts w:ascii="Times New Roman" w:hAnsi="Times New Roman"/>
          <w:sz w:val="32"/>
          <w:szCs w:val="32"/>
        </w:rPr>
        <w:t xml:space="preserve">联系人：                    </w:t>
      </w:r>
    </w:p>
    <w:p>
      <w:pPr>
        <w:spacing w:line="360" w:lineRule="auto"/>
        <w:rPr>
          <w:rFonts w:ascii="Times New Roman" w:hAnsi="Times New Roman"/>
          <w:sz w:val="32"/>
          <w:szCs w:val="32"/>
        </w:rPr>
      </w:pPr>
      <w:r>
        <w:rPr>
          <w:rFonts w:ascii="Times New Roman" w:hAnsi="Times New Roman"/>
          <w:sz w:val="32"/>
          <w:szCs w:val="32"/>
        </w:rPr>
        <w:t xml:space="preserve">联系电话：                   </w:t>
      </w:r>
    </w:p>
    <w:p>
      <w:pPr>
        <w:spacing w:line="360" w:lineRule="auto"/>
        <w:rPr>
          <w:rFonts w:ascii="Times New Roman" w:hAnsi="Times New Roman"/>
          <w:sz w:val="32"/>
          <w:szCs w:val="32"/>
        </w:rPr>
      </w:pPr>
      <w:r>
        <w:rPr>
          <w:rFonts w:ascii="Times New Roman" w:hAnsi="Times New Roman"/>
          <w:sz w:val="32"/>
          <w:szCs w:val="32"/>
        </w:rPr>
        <w:t xml:space="preserve">地址：                              </w:t>
      </w:r>
    </w:p>
    <w:p>
      <w:pPr>
        <w:spacing w:line="360" w:lineRule="auto"/>
        <w:rPr>
          <w:rFonts w:ascii="Times New Roman" w:hAnsi="Times New Roman"/>
          <w:sz w:val="32"/>
          <w:szCs w:val="32"/>
        </w:rPr>
      </w:pPr>
      <w:r>
        <w:rPr>
          <w:rFonts w:ascii="Times New Roman" w:hAnsi="Times New Roman"/>
          <w:sz w:val="32"/>
          <w:szCs w:val="32"/>
        </w:rPr>
        <w:t xml:space="preserve">签约日期：2021年   月   日 </w:t>
      </w:r>
    </w:p>
    <w:p>
      <w:pPr>
        <w:spacing w:line="360" w:lineRule="auto"/>
        <w:rPr>
          <w:rFonts w:ascii="Times New Roman" w:hAnsi="Times New Roman"/>
          <w:sz w:val="32"/>
          <w:szCs w:val="32"/>
        </w:rPr>
      </w:pPr>
    </w:p>
    <w:p>
      <w:pPr>
        <w:spacing w:line="360" w:lineRule="auto"/>
        <w:rPr>
          <w:rFonts w:ascii="Times New Roman" w:hAnsi="Times New Roman"/>
          <w:sz w:val="32"/>
          <w:szCs w:val="32"/>
        </w:rPr>
      </w:pPr>
      <w:r>
        <w:rPr>
          <w:rFonts w:ascii="Times New Roman" w:hAnsi="Times New Roman"/>
          <w:sz w:val="32"/>
          <w:szCs w:val="32"/>
        </w:rPr>
        <w:t>乙方1（盖章）：</w:t>
      </w:r>
    </w:p>
    <w:p>
      <w:pPr>
        <w:spacing w:line="360" w:lineRule="auto"/>
        <w:rPr>
          <w:rFonts w:ascii="Times New Roman" w:hAnsi="Times New Roman"/>
          <w:sz w:val="32"/>
          <w:szCs w:val="32"/>
        </w:rPr>
      </w:pPr>
      <w:r>
        <w:rPr>
          <w:rFonts w:ascii="Times New Roman" w:hAnsi="Times New Roman"/>
          <w:sz w:val="32"/>
          <w:szCs w:val="32"/>
        </w:rPr>
        <w:t xml:space="preserve">乙方1法定代表人/授权代表： </w:t>
      </w:r>
    </w:p>
    <w:p>
      <w:pPr>
        <w:spacing w:line="360" w:lineRule="auto"/>
        <w:rPr>
          <w:rFonts w:ascii="Times New Roman" w:hAnsi="Times New Roman"/>
          <w:sz w:val="32"/>
          <w:szCs w:val="32"/>
        </w:rPr>
      </w:pPr>
      <w:r>
        <w:rPr>
          <w:rFonts w:ascii="Times New Roman" w:hAnsi="Times New Roman"/>
          <w:sz w:val="32"/>
          <w:szCs w:val="32"/>
        </w:rPr>
        <w:t>联系人：</w:t>
      </w:r>
    </w:p>
    <w:p>
      <w:pPr>
        <w:spacing w:line="360" w:lineRule="auto"/>
        <w:rPr>
          <w:rFonts w:ascii="Times New Roman" w:hAnsi="Times New Roman"/>
          <w:sz w:val="32"/>
          <w:szCs w:val="32"/>
        </w:rPr>
      </w:pPr>
      <w:r>
        <w:rPr>
          <w:rFonts w:ascii="Times New Roman" w:hAnsi="Times New Roman"/>
          <w:sz w:val="32"/>
          <w:szCs w:val="32"/>
        </w:rPr>
        <w:t>联系电话：</w:t>
      </w:r>
    </w:p>
    <w:p>
      <w:pPr>
        <w:spacing w:line="360" w:lineRule="auto"/>
        <w:rPr>
          <w:rFonts w:ascii="Times New Roman" w:hAnsi="Times New Roman"/>
          <w:sz w:val="32"/>
          <w:szCs w:val="32"/>
        </w:rPr>
      </w:pPr>
      <w:r>
        <w:rPr>
          <w:rFonts w:ascii="Times New Roman" w:hAnsi="Times New Roman"/>
          <w:sz w:val="32"/>
          <w:szCs w:val="32"/>
        </w:rPr>
        <w:t>地址：</w:t>
      </w:r>
    </w:p>
    <w:p>
      <w:pPr>
        <w:spacing w:line="360" w:lineRule="auto"/>
        <w:rPr>
          <w:rFonts w:ascii="Times New Roman" w:hAnsi="Times New Roman"/>
          <w:sz w:val="32"/>
          <w:szCs w:val="32"/>
        </w:rPr>
      </w:pPr>
      <w:r>
        <w:rPr>
          <w:rFonts w:ascii="Times New Roman" w:hAnsi="Times New Roman"/>
          <w:sz w:val="32"/>
          <w:szCs w:val="32"/>
        </w:rPr>
        <w:t>签约日期：2021年   月   日</w:t>
      </w:r>
    </w:p>
    <w:p>
      <w:pPr>
        <w:spacing w:line="360" w:lineRule="auto"/>
        <w:rPr>
          <w:rFonts w:ascii="Times New Roman" w:hAnsi="Times New Roman"/>
          <w:sz w:val="32"/>
          <w:szCs w:val="32"/>
        </w:rPr>
      </w:pPr>
    </w:p>
    <w:p>
      <w:pPr>
        <w:spacing w:line="360" w:lineRule="auto"/>
        <w:rPr>
          <w:rFonts w:ascii="Times New Roman" w:hAnsi="Times New Roman"/>
          <w:sz w:val="32"/>
          <w:szCs w:val="32"/>
        </w:rPr>
      </w:pPr>
      <w:r>
        <w:rPr>
          <w:rFonts w:ascii="Times New Roman" w:hAnsi="Times New Roman"/>
          <w:sz w:val="32"/>
          <w:szCs w:val="32"/>
        </w:rPr>
        <w:t>乙方2（盖章）：</w:t>
      </w:r>
    </w:p>
    <w:p>
      <w:pPr>
        <w:spacing w:line="360" w:lineRule="auto"/>
        <w:rPr>
          <w:rFonts w:ascii="Times New Roman" w:hAnsi="Times New Roman"/>
          <w:sz w:val="32"/>
          <w:szCs w:val="32"/>
        </w:rPr>
      </w:pPr>
      <w:r>
        <w:rPr>
          <w:rFonts w:ascii="Times New Roman" w:hAnsi="Times New Roman"/>
          <w:sz w:val="32"/>
          <w:szCs w:val="32"/>
        </w:rPr>
        <w:t xml:space="preserve">乙方2法定代表人/授权代表： </w:t>
      </w:r>
    </w:p>
    <w:p>
      <w:pPr>
        <w:spacing w:line="360" w:lineRule="auto"/>
        <w:rPr>
          <w:rFonts w:ascii="Times New Roman" w:hAnsi="Times New Roman"/>
          <w:sz w:val="32"/>
          <w:szCs w:val="32"/>
        </w:rPr>
      </w:pPr>
      <w:r>
        <w:rPr>
          <w:rFonts w:ascii="Times New Roman" w:hAnsi="Times New Roman"/>
          <w:sz w:val="32"/>
          <w:szCs w:val="32"/>
        </w:rPr>
        <w:t>联系人：</w:t>
      </w:r>
    </w:p>
    <w:p>
      <w:pPr>
        <w:spacing w:line="360" w:lineRule="auto"/>
        <w:rPr>
          <w:rFonts w:ascii="Times New Roman" w:hAnsi="Times New Roman"/>
          <w:sz w:val="32"/>
          <w:szCs w:val="32"/>
        </w:rPr>
      </w:pPr>
      <w:r>
        <w:rPr>
          <w:rFonts w:ascii="Times New Roman" w:hAnsi="Times New Roman"/>
          <w:sz w:val="32"/>
          <w:szCs w:val="32"/>
        </w:rPr>
        <w:t>联系电话：</w:t>
      </w:r>
    </w:p>
    <w:p>
      <w:pPr>
        <w:spacing w:line="360" w:lineRule="auto"/>
        <w:rPr>
          <w:rFonts w:ascii="Times New Roman" w:hAnsi="Times New Roman"/>
          <w:sz w:val="32"/>
          <w:szCs w:val="32"/>
        </w:rPr>
      </w:pPr>
      <w:r>
        <w:rPr>
          <w:rFonts w:ascii="Times New Roman" w:hAnsi="Times New Roman"/>
          <w:sz w:val="32"/>
          <w:szCs w:val="32"/>
        </w:rPr>
        <w:t>地址：</w:t>
      </w:r>
    </w:p>
    <w:p>
      <w:pPr>
        <w:spacing w:line="360" w:lineRule="auto"/>
        <w:rPr>
          <w:rFonts w:ascii="Times New Roman" w:hAnsi="Times New Roman"/>
          <w:sz w:val="32"/>
          <w:szCs w:val="32"/>
        </w:rPr>
      </w:pPr>
      <w:r>
        <w:rPr>
          <w:rFonts w:ascii="Times New Roman" w:hAnsi="Times New Roman"/>
          <w:sz w:val="32"/>
          <w:szCs w:val="32"/>
        </w:rPr>
        <w:t>签约日期：2021年   月   日</w:t>
      </w:r>
    </w:p>
    <w:sectPr>
      <w:pgSz w:w="11900" w:h="16838"/>
      <w:pgMar w:top="1474" w:right="1268" w:bottom="1474" w:left="1418" w:header="720" w:footer="720" w:gutter="567"/>
      <w:cols w:equalWidth="0" w:num="1">
        <w:col w:w="8647"/>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55</w:t>
    </w:r>
    <w:r>
      <w:rPr>
        <w:rFonts w:ascii="Times New Roman" w:hAnsi="Times New Roman"/>
        <w:sz w:val="24"/>
        <w:szCs w:val="24"/>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D100D"/>
    <w:multiLevelType w:val="multilevel"/>
    <w:tmpl w:val="3D3D100D"/>
    <w:lvl w:ilvl="0" w:tentative="0">
      <w:start w:val="1"/>
      <w:numFmt w:val="bullet"/>
      <w:lvlText w:val=""/>
      <w:lvlJc w:val="left"/>
      <w:pPr>
        <w:ind w:left="1134" w:hanging="567"/>
      </w:pPr>
      <w:rPr>
        <w:rFonts w:hint="default" w:ascii="Wingdings" w:hAnsi="Wingdings"/>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
    <w:nsid w:val="421031D0"/>
    <w:multiLevelType w:val="multilevel"/>
    <w:tmpl w:val="421031D0"/>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1120" w:hanging="840"/>
      </w:pPr>
      <w:rPr>
        <w:rFonts w:hint="default" w:hAnsi="宋体" w:cs="Times New Roman"/>
      </w:rPr>
    </w:lvl>
    <w:lvl w:ilvl="2" w:tentative="0">
      <w:start w:val="1"/>
      <w:numFmt w:val="decimal"/>
      <w:pStyle w:val="4"/>
      <w:isLgl/>
      <w:lvlText w:val="%1.%2.%3"/>
      <w:lvlJc w:val="left"/>
      <w:pPr>
        <w:ind w:left="1400" w:hanging="840"/>
      </w:pPr>
      <w:rPr>
        <w:rFonts w:hint="default" w:hAnsi="宋体" w:cs="Times New Roman"/>
      </w:rPr>
    </w:lvl>
    <w:lvl w:ilvl="3" w:tentative="0">
      <w:start w:val="1"/>
      <w:numFmt w:val="decimal"/>
      <w:isLgl/>
      <w:lvlText w:val="%1.%2.%3.%4"/>
      <w:lvlJc w:val="left"/>
      <w:pPr>
        <w:ind w:left="1920" w:hanging="1080"/>
      </w:pPr>
      <w:rPr>
        <w:rFonts w:hint="default" w:hAnsi="宋体" w:cs="Times New Roman"/>
      </w:rPr>
    </w:lvl>
    <w:lvl w:ilvl="4" w:tentative="0">
      <w:start w:val="1"/>
      <w:numFmt w:val="decimal"/>
      <w:isLgl/>
      <w:lvlText w:val="%1.%2.%3.%4.%5"/>
      <w:lvlJc w:val="left"/>
      <w:pPr>
        <w:ind w:left="2560" w:hanging="1440"/>
      </w:pPr>
      <w:rPr>
        <w:rFonts w:hint="default" w:hAnsi="宋体" w:cs="Times New Roman"/>
      </w:rPr>
    </w:lvl>
    <w:lvl w:ilvl="5" w:tentative="0">
      <w:start w:val="1"/>
      <w:numFmt w:val="decimal"/>
      <w:isLgl/>
      <w:lvlText w:val="%1.%2.%3.%4.%5.%6"/>
      <w:lvlJc w:val="left"/>
      <w:pPr>
        <w:ind w:left="3200" w:hanging="1800"/>
      </w:pPr>
      <w:rPr>
        <w:rFonts w:hint="default" w:hAnsi="宋体" w:cs="Times New Roman"/>
      </w:rPr>
    </w:lvl>
    <w:lvl w:ilvl="6" w:tentative="0">
      <w:start w:val="1"/>
      <w:numFmt w:val="decimal"/>
      <w:isLgl/>
      <w:lvlText w:val="%1.%2.%3.%4.%5.%6.%7"/>
      <w:lvlJc w:val="left"/>
      <w:pPr>
        <w:ind w:left="3840" w:hanging="2160"/>
      </w:pPr>
      <w:rPr>
        <w:rFonts w:hint="default" w:hAnsi="宋体" w:cs="Times New Roman"/>
      </w:rPr>
    </w:lvl>
    <w:lvl w:ilvl="7" w:tentative="0">
      <w:start w:val="1"/>
      <w:numFmt w:val="decimal"/>
      <w:isLgl/>
      <w:lvlText w:val="%1.%2.%3.%4.%5.%6.%7.%8"/>
      <w:lvlJc w:val="left"/>
      <w:pPr>
        <w:ind w:left="4120" w:hanging="2160"/>
      </w:pPr>
      <w:rPr>
        <w:rFonts w:hint="default" w:hAnsi="宋体" w:cs="Times New Roman"/>
      </w:rPr>
    </w:lvl>
    <w:lvl w:ilvl="8" w:tentative="0">
      <w:start w:val="1"/>
      <w:numFmt w:val="decimal"/>
      <w:isLgl/>
      <w:lvlText w:val="%1.%2.%3.%4.%5.%6.%7.%8.%9"/>
      <w:lvlJc w:val="left"/>
      <w:pPr>
        <w:ind w:left="4760" w:hanging="2520"/>
      </w:pPr>
      <w:rPr>
        <w:rFonts w:hint="default" w:hAnsi="宋体" w:cs="Times New Roman"/>
      </w:rPr>
    </w:lvl>
  </w:abstractNum>
  <w:abstractNum w:abstractNumId="2">
    <w:nsid w:val="7A611F7D"/>
    <w:multiLevelType w:val="multilevel"/>
    <w:tmpl w:val="7A611F7D"/>
    <w:lvl w:ilvl="0" w:tentative="0">
      <w:start w:val="1"/>
      <w:numFmt w:val="decimal"/>
      <w:suff w:val="space"/>
      <w:lvlText w:val="第%1条"/>
      <w:lvlJc w:val="center"/>
      <w:pPr>
        <w:ind w:left="567" w:hanging="170"/>
      </w:pPr>
      <w:rPr>
        <w:rFonts w:hint="eastAsia" w:cs="Times New Roman"/>
      </w:rPr>
    </w:lvl>
    <w:lvl w:ilvl="1" w:tentative="0">
      <w:start w:val="1"/>
      <w:numFmt w:val="decimal"/>
      <w:pStyle w:val="3"/>
      <w:suff w:val="space"/>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05"/>
    <w:rsid w:val="00001EFF"/>
    <w:rsid w:val="00002D99"/>
    <w:rsid w:val="000043C6"/>
    <w:rsid w:val="00006024"/>
    <w:rsid w:val="00006C66"/>
    <w:rsid w:val="00007A4B"/>
    <w:rsid w:val="00011266"/>
    <w:rsid w:val="000114B7"/>
    <w:rsid w:val="0001369E"/>
    <w:rsid w:val="000226CE"/>
    <w:rsid w:val="00022CED"/>
    <w:rsid w:val="00024D41"/>
    <w:rsid w:val="00027785"/>
    <w:rsid w:val="000328AB"/>
    <w:rsid w:val="000334A0"/>
    <w:rsid w:val="00034485"/>
    <w:rsid w:val="00037852"/>
    <w:rsid w:val="000402CB"/>
    <w:rsid w:val="00040421"/>
    <w:rsid w:val="00043F87"/>
    <w:rsid w:val="000473A1"/>
    <w:rsid w:val="00057C0B"/>
    <w:rsid w:val="00060525"/>
    <w:rsid w:val="00060F6A"/>
    <w:rsid w:val="0006109E"/>
    <w:rsid w:val="00061458"/>
    <w:rsid w:val="00065598"/>
    <w:rsid w:val="000656BA"/>
    <w:rsid w:val="00065A36"/>
    <w:rsid w:val="00065BE8"/>
    <w:rsid w:val="00070265"/>
    <w:rsid w:val="000722A2"/>
    <w:rsid w:val="0007362D"/>
    <w:rsid w:val="000757C7"/>
    <w:rsid w:val="00076B63"/>
    <w:rsid w:val="00083D64"/>
    <w:rsid w:val="000862AB"/>
    <w:rsid w:val="00091EB0"/>
    <w:rsid w:val="00092DCB"/>
    <w:rsid w:val="00095E34"/>
    <w:rsid w:val="00096404"/>
    <w:rsid w:val="00097B75"/>
    <w:rsid w:val="000A28F3"/>
    <w:rsid w:val="000A734B"/>
    <w:rsid w:val="000A7893"/>
    <w:rsid w:val="000B27E3"/>
    <w:rsid w:val="000B28BD"/>
    <w:rsid w:val="000B62A9"/>
    <w:rsid w:val="000C0E5B"/>
    <w:rsid w:val="000C1E12"/>
    <w:rsid w:val="000C2854"/>
    <w:rsid w:val="000C5880"/>
    <w:rsid w:val="000C67D6"/>
    <w:rsid w:val="000D1ABA"/>
    <w:rsid w:val="000D3306"/>
    <w:rsid w:val="000D5242"/>
    <w:rsid w:val="000D5AC4"/>
    <w:rsid w:val="000E26BA"/>
    <w:rsid w:val="000E3AA5"/>
    <w:rsid w:val="000E43CC"/>
    <w:rsid w:val="000E723C"/>
    <w:rsid w:val="000F0D4B"/>
    <w:rsid w:val="000F21D4"/>
    <w:rsid w:val="000F275D"/>
    <w:rsid w:val="000F32DA"/>
    <w:rsid w:val="000F3615"/>
    <w:rsid w:val="000F508A"/>
    <w:rsid w:val="00105868"/>
    <w:rsid w:val="00110016"/>
    <w:rsid w:val="001120D5"/>
    <w:rsid w:val="00113BDF"/>
    <w:rsid w:val="001145A3"/>
    <w:rsid w:val="00114F12"/>
    <w:rsid w:val="00115565"/>
    <w:rsid w:val="00116495"/>
    <w:rsid w:val="00116ED1"/>
    <w:rsid w:val="00117D10"/>
    <w:rsid w:val="00117EBB"/>
    <w:rsid w:val="00120F2B"/>
    <w:rsid w:val="0012533E"/>
    <w:rsid w:val="00131E64"/>
    <w:rsid w:val="00132197"/>
    <w:rsid w:val="001349A6"/>
    <w:rsid w:val="00135BC3"/>
    <w:rsid w:val="00140013"/>
    <w:rsid w:val="00140876"/>
    <w:rsid w:val="001432D6"/>
    <w:rsid w:val="0014457A"/>
    <w:rsid w:val="00144A99"/>
    <w:rsid w:val="00147306"/>
    <w:rsid w:val="00150731"/>
    <w:rsid w:val="00151AA4"/>
    <w:rsid w:val="00156F7D"/>
    <w:rsid w:val="0016293B"/>
    <w:rsid w:val="0016340D"/>
    <w:rsid w:val="00164E07"/>
    <w:rsid w:val="0016656B"/>
    <w:rsid w:val="00167CE0"/>
    <w:rsid w:val="00170356"/>
    <w:rsid w:val="001736C1"/>
    <w:rsid w:val="0017407A"/>
    <w:rsid w:val="001741FC"/>
    <w:rsid w:val="00176EF5"/>
    <w:rsid w:val="00177D30"/>
    <w:rsid w:val="00181412"/>
    <w:rsid w:val="00181779"/>
    <w:rsid w:val="00183CF1"/>
    <w:rsid w:val="0018448D"/>
    <w:rsid w:val="00185030"/>
    <w:rsid w:val="0018557D"/>
    <w:rsid w:val="00187E90"/>
    <w:rsid w:val="00187F09"/>
    <w:rsid w:val="00190574"/>
    <w:rsid w:val="00192A2A"/>
    <w:rsid w:val="001A2512"/>
    <w:rsid w:val="001A3BFA"/>
    <w:rsid w:val="001A60FF"/>
    <w:rsid w:val="001A657A"/>
    <w:rsid w:val="001B1BE9"/>
    <w:rsid w:val="001B4127"/>
    <w:rsid w:val="001B4BF8"/>
    <w:rsid w:val="001B5ED1"/>
    <w:rsid w:val="001C1C2D"/>
    <w:rsid w:val="001C35F4"/>
    <w:rsid w:val="001C3B0F"/>
    <w:rsid w:val="001C51EB"/>
    <w:rsid w:val="001D08BD"/>
    <w:rsid w:val="001D370A"/>
    <w:rsid w:val="001D5E78"/>
    <w:rsid w:val="001D7D27"/>
    <w:rsid w:val="001D7E53"/>
    <w:rsid w:val="001E4C23"/>
    <w:rsid w:val="001E590B"/>
    <w:rsid w:val="001E775A"/>
    <w:rsid w:val="001F13AA"/>
    <w:rsid w:val="001F176F"/>
    <w:rsid w:val="001F256D"/>
    <w:rsid w:val="001F5F5E"/>
    <w:rsid w:val="001F674F"/>
    <w:rsid w:val="00200A17"/>
    <w:rsid w:val="00202F89"/>
    <w:rsid w:val="00205B70"/>
    <w:rsid w:val="00207CC6"/>
    <w:rsid w:val="00207D2C"/>
    <w:rsid w:val="00211FD8"/>
    <w:rsid w:val="002149C1"/>
    <w:rsid w:val="0021517D"/>
    <w:rsid w:val="00217631"/>
    <w:rsid w:val="002208F1"/>
    <w:rsid w:val="00220EEC"/>
    <w:rsid w:val="002229E5"/>
    <w:rsid w:val="00225F0F"/>
    <w:rsid w:val="00232B9E"/>
    <w:rsid w:val="00233214"/>
    <w:rsid w:val="00234A68"/>
    <w:rsid w:val="0024092C"/>
    <w:rsid w:val="00244D83"/>
    <w:rsid w:val="00245928"/>
    <w:rsid w:val="002506E1"/>
    <w:rsid w:val="00253CF2"/>
    <w:rsid w:val="0025513F"/>
    <w:rsid w:val="00257763"/>
    <w:rsid w:val="00260D6C"/>
    <w:rsid w:val="00261A26"/>
    <w:rsid w:val="00261C43"/>
    <w:rsid w:val="002638B7"/>
    <w:rsid w:val="00274ADC"/>
    <w:rsid w:val="00276106"/>
    <w:rsid w:val="00276CA7"/>
    <w:rsid w:val="00276EDE"/>
    <w:rsid w:val="00277B06"/>
    <w:rsid w:val="00281A0F"/>
    <w:rsid w:val="00283C8F"/>
    <w:rsid w:val="00283CF0"/>
    <w:rsid w:val="00285815"/>
    <w:rsid w:val="00285B53"/>
    <w:rsid w:val="00291284"/>
    <w:rsid w:val="00293FE6"/>
    <w:rsid w:val="00294E4D"/>
    <w:rsid w:val="0029511B"/>
    <w:rsid w:val="00297E11"/>
    <w:rsid w:val="002A1B58"/>
    <w:rsid w:val="002A6340"/>
    <w:rsid w:val="002A7BF5"/>
    <w:rsid w:val="002B5A3D"/>
    <w:rsid w:val="002B5CC1"/>
    <w:rsid w:val="002B6F2E"/>
    <w:rsid w:val="002B7086"/>
    <w:rsid w:val="002B7781"/>
    <w:rsid w:val="002B7DC0"/>
    <w:rsid w:val="002C0126"/>
    <w:rsid w:val="002C0FD6"/>
    <w:rsid w:val="002C325B"/>
    <w:rsid w:val="002C34B6"/>
    <w:rsid w:val="002C39BE"/>
    <w:rsid w:val="002C3E89"/>
    <w:rsid w:val="002C64B0"/>
    <w:rsid w:val="002C7BFF"/>
    <w:rsid w:val="002C7C7F"/>
    <w:rsid w:val="002D0606"/>
    <w:rsid w:val="002D1C35"/>
    <w:rsid w:val="002D2C56"/>
    <w:rsid w:val="002D3558"/>
    <w:rsid w:val="002D499A"/>
    <w:rsid w:val="002D4C5A"/>
    <w:rsid w:val="002D5F7D"/>
    <w:rsid w:val="002D6029"/>
    <w:rsid w:val="002D6BDD"/>
    <w:rsid w:val="002E016E"/>
    <w:rsid w:val="002E1067"/>
    <w:rsid w:val="002E24A9"/>
    <w:rsid w:val="002E27A4"/>
    <w:rsid w:val="002E2E59"/>
    <w:rsid w:val="002E397F"/>
    <w:rsid w:val="002E5C94"/>
    <w:rsid w:val="002F06AB"/>
    <w:rsid w:val="002F1525"/>
    <w:rsid w:val="002F5844"/>
    <w:rsid w:val="002F6C14"/>
    <w:rsid w:val="002F7C9E"/>
    <w:rsid w:val="003010F9"/>
    <w:rsid w:val="00301247"/>
    <w:rsid w:val="00302A62"/>
    <w:rsid w:val="00302F75"/>
    <w:rsid w:val="00303385"/>
    <w:rsid w:val="00306630"/>
    <w:rsid w:val="00307E48"/>
    <w:rsid w:val="003105A0"/>
    <w:rsid w:val="00311784"/>
    <w:rsid w:val="00326BBB"/>
    <w:rsid w:val="00327E67"/>
    <w:rsid w:val="00330197"/>
    <w:rsid w:val="00332464"/>
    <w:rsid w:val="00332737"/>
    <w:rsid w:val="0033396C"/>
    <w:rsid w:val="00333F19"/>
    <w:rsid w:val="00341065"/>
    <w:rsid w:val="00350163"/>
    <w:rsid w:val="0035035E"/>
    <w:rsid w:val="0035301D"/>
    <w:rsid w:val="00353DDE"/>
    <w:rsid w:val="00353EA8"/>
    <w:rsid w:val="00355389"/>
    <w:rsid w:val="00355F30"/>
    <w:rsid w:val="0036013A"/>
    <w:rsid w:val="00361D8E"/>
    <w:rsid w:val="003629AA"/>
    <w:rsid w:val="00362FD7"/>
    <w:rsid w:val="00363866"/>
    <w:rsid w:val="00363FA1"/>
    <w:rsid w:val="00364B43"/>
    <w:rsid w:val="00365337"/>
    <w:rsid w:val="00370708"/>
    <w:rsid w:val="00370CE3"/>
    <w:rsid w:val="003731DA"/>
    <w:rsid w:val="003733ED"/>
    <w:rsid w:val="00373589"/>
    <w:rsid w:val="00373B87"/>
    <w:rsid w:val="00374850"/>
    <w:rsid w:val="00377BF6"/>
    <w:rsid w:val="0038495B"/>
    <w:rsid w:val="00384DE9"/>
    <w:rsid w:val="00384F42"/>
    <w:rsid w:val="003861F5"/>
    <w:rsid w:val="003A2B2B"/>
    <w:rsid w:val="003A2C76"/>
    <w:rsid w:val="003A3858"/>
    <w:rsid w:val="003A4E87"/>
    <w:rsid w:val="003B1946"/>
    <w:rsid w:val="003B382C"/>
    <w:rsid w:val="003B53B6"/>
    <w:rsid w:val="003C0444"/>
    <w:rsid w:val="003C1148"/>
    <w:rsid w:val="003C216C"/>
    <w:rsid w:val="003C2384"/>
    <w:rsid w:val="003C5448"/>
    <w:rsid w:val="003C54D1"/>
    <w:rsid w:val="003D0546"/>
    <w:rsid w:val="003D1C82"/>
    <w:rsid w:val="003D461D"/>
    <w:rsid w:val="003D474D"/>
    <w:rsid w:val="003D4D8B"/>
    <w:rsid w:val="003D5883"/>
    <w:rsid w:val="003F1D8F"/>
    <w:rsid w:val="00402C72"/>
    <w:rsid w:val="00402E42"/>
    <w:rsid w:val="00403A30"/>
    <w:rsid w:val="00404250"/>
    <w:rsid w:val="00404350"/>
    <w:rsid w:val="00404A20"/>
    <w:rsid w:val="004071F1"/>
    <w:rsid w:val="004102E9"/>
    <w:rsid w:val="004103D8"/>
    <w:rsid w:val="00411D33"/>
    <w:rsid w:val="0041290B"/>
    <w:rsid w:val="00412EB4"/>
    <w:rsid w:val="00413827"/>
    <w:rsid w:val="004141AB"/>
    <w:rsid w:val="00414A0A"/>
    <w:rsid w:val="00414FF9"/>
    <w:rsid w:val="004207E4"/>
    <w:rsid w:val="0043083A"/>
    <w:rsid w:val="00431CE4"/>
    <w:rsid w:val="00431EAC"/>
    <w:rsid w:val="00433153"/>
    <w:rsid w:val="00434171"/>
    <w:rsid w:val="00434C00"/>
    <w:rsid w:val="00435FDF"/>
    <w:rsid w:val="004378CD"/>
    <w:rsid w:val="00440632"/>
    <w:rsid w:val="00440D4E"/>
    <w:rsid w:val="00440E99"/>
    <w:rsid w:val="00441E81"/>
    <w:rsid w:val="00442CDD"/>
    <w:rsid w:val="00443F7A"/>
    <w:rsid w:val="004447B2"/>
    <w:rsid w:val="00445811"/>
    <w:rsid w:val="00447EC0"/>
    <w:rsid w:val="00450E4C"/>
    <w:rsid w:val="00451411"/>
    <w:rsid w:val="0045145B"/>
    <w:rsid w:val="0045629D"/>
    <w:rsid w:val="0045706D"/>
    <w:rsid w:val="004578E9"/>
    <w:rsid w:val="004737AB"/>
    <w:rsid w:val="00473F42"/>
    <w:rsid w:val="0047759E"/>
    <w:rsid w:val="00482FB6"/>
    <w:rsid w:val="00484711"/>
    <w:rsid w:val="00485304"/>
    <w:rsid w:val="004874A0"/>
    <w:rsid w:val="00487C43"/>
    <w:rsid w:val="00490793"/>
    <w:rsid w:val="004934C7"/>
    <w:rsid w:val="004942BD"/>
    <w:rsid w:val="004A0509"/>
    <w:rsid w:val="004A35C8"/>
    <w:rsid w:val="004B02AC"/>
    <w:rsid w:val="004B044B"/>
    <w:rsid w:val="004B07C1"/>
    <w:rsid w:val="004B09DF"/>
    <w:rsid w:val="004B0C38"/>
    <w:rsid w:val="004B1154"/>
    <w:rsid w:val="004B22F2"/>
    <w:rsid w:val="004B445D"/>
    <w:rsid w:val="004B68BF"/>
    <w:rsid w:val="004B7B86"/>
    <w:rsid w:val="004C0953"/>
    <w:rsid w:val="004C1809"/>
    <w:rsid w:val="004C1F88"/>
    <w:rsid w:val="004C25DC"/>
    <w:rsid w:val="004C7E54"/>
    <w:rsid w:val="004D72AC"/>
    <w:rsid w:val="004E0B31"/>
    <w:rsid w:val="004E1068"/>
    <w:rsid w:val="004E15E4"/>
    <w:rsid w:val="004E2CA1"/>
    <w:rsid w:val="004E493E"/>
    <w:rsid w:val="004F1488"/>
    <w:rsid w:val="004F5A76"/>
    <w:rsid w:val="0050162A"/>
    <w:rsid w:val="0050226D"/>
    <w:rsid w:val="00503CE8"/>
    <w:rsid w:val="00507982"/>
    <w:rsid w:val="00507AB1"/>
    <w:rsid w:val="00507E6E"/>
    <w:rsid w:val="0051091A"/>
    <w:rsid w:val="00510B2C"/>
    <w:rsid w:val="0051538C"/>
    <w:rsid w:val="00517D0B"/>
    <w:rsid w:val="005242A6"/>
    <w:rsid w:val="005250CA"/>
    <w:rsid w:val="005272B9"/>
    <w:rsid w:val="00527AFD"/>
    <w:rsid w:val="005312D7"/>
    <w:rsid w:val="00531C2C"/>
    <w:rsid w:val="00533359"/>
    <w:rsid w:val="00535F9A"/>
    <w:rsid w:val="00537E8F"/>
    <w:rsid w:val="005400CF"/>
    <w:rsid w:val="00542617"/>
    <w:rsid w:val="005461D1"/>
    <w:rsid w:val="00546743"/>
    <w:rsid w:val="005478DC"/>
    <w:rsid w:val="00547C27"/>
    <w:rsid w:val="00553C89"/>
    <w:rsid w:val="0056160E"/>
    <w:rsid w:val="0056317A"/>
    <w:rsid w:val="005664C0"/>
    <w:rsid w:val="00570EC1"/>
    <w:rsid w:val="0057337D"/>
    <w:rsid w:val="00582521"/>
    <w:rsid w:val="005825A6"/>
    <w:rsid w:val="00584FED"/>
    <w:rsid w:val="005860FD"/>
    <w:rsid w:val="005908EE"/>
    <w:rsid w:val="005931BB"/>
    <w:rsid w:val="00595E08"/>
    <w:rsid w:val="00597A8B"/>
    <w:rsid w:val="005A0488"/>
    <w:rsid w:val="005A50B0"/>
    <w:rsid w:val="005A5498"/>
    <w:rsid w:val="005A7FF8"/>
    <w:rsid w:val="005B1859"/>
    <w:rsid w:val="005B1F91"/>
    <w:rsid w:val="005B3624"/>
    <w:rsid w:val="005B6106"/>
    <w:rsid w:val="005B6FBA"/>
    <w:rsid w:val="005B79D5"/>
    <w:rsid w:val="005C5B18"/>
    <w:rsid w:val="005C6D44"/>
    <w:rsid w:val="005C750E"/>
    <w:rsid w:val="005C7D1A"/>
    <w:rsid w:val="005D1FAB"/>
    <w:rsid w:val="005D4275"/>
    <w:rsid w:val="005D44F9"/>
    <w:rsid w:val="005D51BB"/>
    <w:rsid w:val="005D5790"/>
    <w:rsid w:val="005D5F6A"/>
    <w:rsid w:val="005E0CDD"/>
    <w:rsid w:val="005E313D"/>
    <w:rsid w:val="005E55BC"/>
    <w:rsid w:val="005E5989"/>
    <w:rsid w:val="005E5DC1"/>
    <w:rsid w:val="005E6633"/>
    <w:rsid w:val="005F0DE0"/>
    <w:rsid w:val="005F1419"/>
    <w:rsid w:val="005F1D2C"/>
    <w:rsid w:val="005F2DE8"/>
    <w:rsid w:val="005F491B"/>
    <w:rsid w:val="005F6064"/>
    <w:rsid w:val="005F63EC"/>
    <w:rsid w:val="005F70D6"/>
    <w:rsid w:val="00600924"/>
    <w:rsid w:val="006031A9"/>
    <w:rsid w:val="00603925"/>
    <w:rsid w:val="00606E97"/>
    <w:rsid w:val="00610B05"/>
    <w:rsid w:val="00611B4B"/>
    <w:rsid w:val="00611F34"/>
    <w:rsid w:val="006131C9"/>
    <w:rsid w:val="00615671"/>
    <w:rsid w:val="00615839"/>
    <w:rsid w:val="00622099"/>
    <w:rsid w:val="00624163"/>
    <w:rsid w:val="006248D4"/>
    <w:rsid w:val="00625810"/>
    <w:rsid w:val="00625FBE"/>
    <w:rsid w:val="00626F5D"/>
    <w:rsid w:val="00627494"/>
    <w:rsid w:val="006304D3"/>
    <w:rsid w:val="006332BD"/>
    <w:rsid w:val="006403CD"/>
    <w:rsid w:val="00640FC2"/>
    <w:rsid w:val="00643B78"/>
    <w:rsid w:val="00644624"/>
    <w:rsid w:val="00644F46"/>
    <w:rsid w:val="00646230"/>
    <w:rsid w:val="006551EE"/>
    <w:rsid w:val="00655F6A"/>
    <w:rsid w:val="00660544"/>
    <w:rsid w:val="006611F3"/>
    <w:rsid w:val="006614D9"/>
    <w:rsid w:val="006645B5"/>
    <w:rsid w:val="006669F1"/>
    <w:rsid w:val="00666F64"/>
    <w:rsid w:val="00671DD4"/>
    <w:rsid w:val="00676AC7"/>
    <w:rsid w:val="00677590"/>
    <w:rsid w:val="00681A0A"/>
    <w:rsid w:val="006843D0"/>
    <w:rsid w:val="00685AD7"/>
    <w:rsid w:val="0068687E"/>
    <w:rsid w:val="006904D6"/>
    <w:rsid w:val="00691FCF"/>
    <w:rsid w:val="0069262E"/>
    <w:rsid w:val="0069432C"/>
    <w:rsid w:val="00695F5F"/>
    <w:rsid w:val="006A1AFF"/>
    <w:rsid w:val="006A1CF1"/>
    <w:rsid w:val="006A3974"/>
    <w:rsid w:val="006A43A8"/>
    <w:rsid w:val="006A4E07"/>
    <w:rsid w:val="006A53BD"/>
    <w:rsid w:val="006A5F6F"/>
    <w:rsid w:val="006B197E"/>
    <w:rsid w:val="006B2B7F"/>
    <w:rsid w:val="006B51BC"/>
    <w:rsid w:val="006B6FAF"/>
    <w:rsid w:val="006B7F67"/>
    <w:rsid w:val="006C5ED7"/>
    <w:rsid w:val="006D1B32"/>
    <w:rsid w:val="006D2174"/>
    <w:rsid w:val="006D356A"/>
    <w:rsid w:val="006D47BD"/>
    <w:rsid w:val="006D4CC8"/>
    <w:rsid w:val="006D75D1"/>
    <w:rsid w:val="006E061C"/>
    <w:rsid w:val="006E2B39"/>
    <w:rsid w:val="006E6526"/>
    <w:rsid w:val="006F2BE4"/>
    <w:rsid w:val="006F44B6"/>
    <w:rsid w:val="006F67AB"/>
    <w:rsid w:val="006F7C9D"/>
    <w:rsid w:val="00703183"/>
    <w:rsid w:val="0071032C"/>
    <w:rsid w:val="00716798"/>
    <w:rsid w:val="00716DBE"/>
    <w:rsid w:val="00723E18"/>
    <w:rsid w:val="0072417C"/>
    <w:rsid w:val="00724642"/>
    <w:rsid w:val="00724CE1"/>
    <w:rsid w:val="00726B15"/>
    <w:rsid w:val="00726D87"/>
    <w:rsid w:val="007315DB"/>
    <w:rsid w:val="007343CB"/>
    <w:rsid w:val="00741F1A"/>
    <w:rsid w:val="007420B1"/>
    <w:rsid w:val="00744656"/>
    <w:rsid w:val="00744A07"/>
    <w:rsid w:val="00750C18"/>
    <w:rsid w:val="00752741"/>
    <w:rsid w:val="00754E05"/>
    <w:rsid w:val="00756395"/>
    <w:rsid w:val="00757A4E"/>
    <w:rsid w:val="007604AF"/>
    <w:rsid w:val="00760675"/>
    <w:rsid w:val="007621BD"/>
    <w:rsid w:val="00763AC0"/>
    <w:rsid w:val="007758A1"/>
    <w:rsid w:val="00776E2E"/>
    <w:rsid w:val="007807B2"/>
    <w:rsid w:val="00793DF5"/>
    <w:rsid w:val="00794039"/>
    <w:rsid w:val="00794E90"/>
    <w:rsid w:val="007964B1"/>
    <w:rsid w:val="007972FD"/>
    <w:rsid w:val="00797C7B"/>
    <w:rsid w:val="007A035C"/>
    <w:rsid w:val="007A068E"/>
    <w:rsid w:val="007A1F6C"/>
    <w:rsid w:val="007A27C3"/>
    <w:rsid w:val="007A2D61"/>
    <w:rsid w:val="007A64A2"/>
    <w:rsid w:val="007B799D"/>
    <w:rsid w:val="007C2AD6"/>
    <w:rsid w:val="007C40C0"/>
    <w:rsid w:val="007C569D"/>
    <w:rsid w:val="007D1B28"/>
    <w:rsid w:val="007D5451"/>
    <w:rsid w:val="007D57C6"/>
    <w:rsid w:val="007E193F"/>
    <w:rsid w:val="007E3DBF"/>
    <w:rsid w:val="007E5D0B"/>
    <w:rsid w:val="007E7913"/>
    <w:rsid w:val="007F1928"/>
    <w:rsid w:val="007F20E7"/>
    <w:rsid w:val="007F37B7"/>
    <w:rsid w:val="007F5456"/>
    <w:rsid w:val="00801EB4"/>
    <w:rsid w:val="00803DC1"/>
    <w:rsid w:val="00804A1F"/>
    <w:rsid w:val="00811906"/>
    <w:rsid w:val="0081563E"/>
    <w:rsid w:val="00816F4E"/>
    <w:rsid w:val="008237EA"/>
    <w:rsid w:val="00824F78"/>
    <w:rsid w:val="00827453"/>
    <w:rsid w:val="00827907"/>
    <w:rsid w:val="00830820"/>
    <w:rsid w:val="00830AB3"/>
    <w:rsid w:val="00831C8C"/>
    <w:rsid w:val="00834073"/>
    <w:rsid w:val="00834E76"/>
    <w:rsid w:val="00840A73"/>
    <w:rsid w:val="00841703"/>
    <w:rsid w:val="00846231"/>
    <w:rsid w:val="008471F4"/>
    <w:rsid w:val="00847E50"/>
    <w:rsid w:val="00847EB9"/>
    <w:rsid w:val="00850DC6"/>
    <w:rsid w:val="0085269A"/>
    <w:rsid w:val="00852C83"/>
    <w:rsid w:val="00855476"/>
    <w:rsid w:val="00855BBE"/>
    <w:rsid w:val="0085690E"/>
    <w:rsid w:val="00862AFE"/>
    <w:rsid w:val="0086313F"/>
    <w:rsid w:val="00870CAA"/>
    <w:rsid w:val="008750CF"/>
    <w:rsid w:val="0087795C"/>
    <w:rsid w:val="0088073D"/>
    <w:rsid w:val="00881DFC"/>
    <w:rsid w:val="00881F52"/>
    <w:rsid w:val="0088292B"/>
    <w:rsid w:val="00885007"/>
    <w:rsid w:val="00885D99"/>
    <w:rsid w:val="0088722B"/>
    <w:rsid w:val="0089054A"/>
    <w:rsid w:val="008934B6"/>
    <w:rsid w:val="008A408C"/>
    <w:rsid w:val="008A5F32"/>
    <w:rsid w:val="008A67AD"/>
    <w:rsid w:val="008A7A4E"/>
    <w:rsid w:val="008A7E59"/>
    <w:rsid w:val="008B058C"/>
    <w:rsid w:val="008B0D4A"/>
    <w:rsid w:val="008B1366"/>
    <w:rsid w:val="008B1DE4"/>
    <w:rsid w:val="008B2E78"/>
    <w:rsid w:val="008B4297"/>
    <w:rsid w:val="008B6328"/>
    <w:rsid w:val="008B794C"/>
    <w:rsid w:val="008C21A5"/>
    <w:rsid w:val="008C3D83"/>
    <w:rsid w:val="008C4C95"/>
    <w:rsid w:val="008C5B4E"/>
    <w:rsid w:val="008C702C"/>
    <w:rsid w:val="008C7962"/>
    <w:rsid w:val="008D0B5D"/>
    <w:rsid w:val="008D3558"/>
    <w:rsid w:val="008D3796"/>
    <w:rsid w:val="008D3AD9"/>
    <w:rsid w:val="008D42C6"/>
    <w:rsid w:val="008D5567"/>
    <w:rsid w:val="008E0040"/>
    <w:rsid w:val="008E199B"/>
    <w:rsid w:val="008E6744"/>
    <w:rsid w:val="008E70E2"/>
    <w:rsid w:val="008F02A6"/>
    <w:rsid w:val="008F04D6"/>
    <w:rsid w:val="008F11C3"/>
    <w:rsid w:val="008F2052"/>
    <w:rsid w:val="008F427B"/>
    <w:rsid w:val="009015D4"/>
    <w:rsid w:val="00903E07"/>
    <w:rsid w:val="00904A93"/>
    <w:rsid w:val="00906016"/>
    <w:rsid w:val="0091314F"/>
    <w:rsid w:val="009149B8"/>
    <w:rsid w:val="0091616C"/>
    <w:rsid w:val="00924572"/>
    <w:rsid w:val="009257E0"/>
    <w:rsid w:val="00930EAE"/>
    <w:rsid w:val="00932F67"/>
    <w:rsid w:val="00937F89"/>
    <w:rsid w:val="00942EC9"/>
    <w:rsid w:val="009455C5"/>
    <w:rsid w:val="0094586E"/>
    <w:rsid w:val="00945FBE"/>
    <w:rsid w:val="009469BB"/>
    <w:rsid w:val="00947A8A"/>
    <w:rsid w:val="0095102F"/>
    <w:rsid w:val="009516D4"/>
    <w:rsid w:val="00956B36"/>
    <w:rsid w:val="0095760B"/>
    <w:rsid w:val="00957EFD"/>
    <w:rsid w:val="009601CB"/>
    <w:rsid w:val="00970C22"/>
    <w:rsid w:val="0097177F"/>
    <w:rsid w:val="00977C25"/>
    <w:rsid w:val="009800F3"/>
    <w:rsid w:val="00980928"/>
    <w:rsid w:val="00980E51"/>
    <w:rsid w:val="00982735"/>
    <w:rsid w:val="00983A62"/>
    <w:rsid w:val="0098417F"/>
    <w:rsid w:val="0098467A"/>
    <w:rsid w:val="0098564B"/>
    <w:rsid w:val="00986082"/>
    <w:rsid w:val="00987CEA"/>
    <w:rsid w:val="009902D5"/>
    <w:rsid w:val="00992632"/>
    <w:rsid w:val="00993759"/>
    <w:rsid w:val="00994384"/>
    <w:rsid w:val="0099504D"/>
    <w:rsid w:val="009A0F0A"/>
    <w:rsid w:val="009A29EF"/>
    <w:rsid w:val="009A72F0"/>
    <w:rsid w:val="009B0BA0"/>
    <w:rsid w:val="009B217C"/>
    <w:rsid w:val="009C0443"/>
    <w:rsid w:val="009C1201"/>
    <w:rsid w:val="009C36FA"/>
    <w:rsid w:val="009C3ABF"/>
    <w:rsid w:val="009C6E46"/>
    <w:rsid w:val="009D0009"/>
    <w:rsid w:val="009D34BD"/>
    <w:rsid w:val="009E29EF"/>
    <w:rsid w:val="009F00EC"/>
    <w:rsid w:val="009F1769"/>
    <w:rsid w:val="009F37B4"/>
    <w:rsid w:val="009F450F"/>
    <w:rsid w:val="009F572C"/>
    <w:rsid w:val="009F752A"/>
    <w:rsid w:val="009F75BE"/>
    <w:rsid w:val="00A054F1"/>
    <w:rsid w:val="00A05B73"/>
    <w:rsid w:val="00A06C2D"/>
    <w:rsid w:val="00A12182"/>
    <w:rsid w:val="00A14A98"/>
    <w:rsid w:val="00A15D3F"/>
    <w:rsid w:val="00A16A59"/>
    <w:rsid w:val="00A17F16"/>
    <w:rsid w:val="00A21061"/>
    <w:rsid w:val="00A267C3"/>
    <w:rsid w:val="00A33B8D"/>
    <w:rsid w:val="00A40D5A"/>
    <w:rsid w:val="00A4144A"/>
    <w:rsid w:val="00A4167E"/>
    <w:rsid w:val="00A43179"/>
    <w:rsid w:val="00A4493B"/>
    <w:rsid w:val="00A44D24"/>
    <w:rsid w:val="00A45D4B"/>
    <w:rsid w:val="00A47BE8"/>
    <w:rsid w:val="00A51D2C"/>
    <w:rsid w:val="00A521D7"/>
    <w:rsid w:val="00A522A2"/>
    <w:rsid w:val="00A538A5"/>
    <w:rsid w:val="00A551AD"/>
    <w:rsid w:val="00A557FC"/>
    <w:rsid w:val="00A56A5D"/>
    <w:rsid w:val="00A57D69"/>
    <w:rsid w:val="00A60102"/>
    <w:rsid w:val="00A604D8"/>
    <w:rsid w:val="00A609C0"/>
    <w:rsid w:val="00A618A4"/>
    <w:rsid w:val="00A62975"/>
    <w:rsid w:val="00A62E4A"/>
    <w:rsid w:val="00A67CB1"/>
    <w:rsid w:val="00A7081F"/>
    <w:rsid w:val="00A72689"/>
    <w:rsid w:val="00A72969"/>
    <w:rsid w:val="00A747BD"/>
    <w:rsid w:val="00A74BEA"/>
    <w:rsid w:val="00A873EA"/>
    <w:rsid w:val="00A87958"/>
    <w:rsid w:val="00A90DA5"/>
    <w:rsid w:val="00A95BFF"/>
    <w:rsid w:val="00A95DFA"/>
    <w:rsid w:val="00A9639B"/>
    <w:rsid w:val="00AA1210"/>
    <w:rsid w:val="00AA1234"/>
    <w:rsid w:val="00AA16A7"/>
    <w:rsid w:val="00AA37A2"/>
    <w:rsid w:val="00AA4842"/>
    <w:rsid w:val="00AB317E"/>
    <w:rsid w:val="00AB4F58"/>
    <w:rsid w:val="00AB5559"/>
    <w:rsid w:val="00AB5A2B"/>
    <w:rsid w:val="00AB5C77"/>
    <w:rsid w:val="00AB5D7B"/>
    <w:rsid w:val="00AB690B"/>
    <w:rsid w:val="00AB7A1F"/>
    <w:rsid w:val="00AB7A4C"/>
    <w:rsid w:val="00AC15AF"/>
    <w:rsid w:val="00AC3918"/>
    <w:rsid w:val="00AC4DB9"/>
    <w:rsid w:val="00AD0FDB"/>
    <w:rsid w:val="00AD1F56"/>
    <w:rsid w:val="00AD287B"/>
    <w:rsid w:val="00AD2FDE"/>
    <w:rsid w:val="00AD5ADA"/>
    <w:rsid w:val="00AD7928"/>
    <w:rsid w:val="00AE02B7"/>
    <w:rsid w:val="00AE1E96"/>
    <w:rsid w:val="00AE288E"/>
    <w:rsid w:val="00AE36BF"/>
    <w:rsid w:val="00AE66AD"/>
    <w:rsid w:val="00AF02CB"/>
    <w:rsid w:val="00AF09BA"/>
    <w:rsid w:val="00AF6154"/>
    <w:rsid w:val="00AF7812"/>
    <w:rsid w:val="00AF7913"/>
    <w:rsid w:val="00AF7D6F"/>
    <w:rsid w:val="00B00ACC"/>
    <w:rsid w:val="00B010E4"/>
    <w:rsid w:val="00B03850"/>
    <w:rsid w:val="00B03E90"/>
    <w:rsid w:val="00B04A18"/>
    <w:rsid w:val="00B06284"/>
    <w:rsid w:val="00B10B2D"/>
    <w:rsid w:val="00B10F9C"/>
    <w:rsid w:val="00B128FE"/>
    <w:rsid w:val="00B14B6D"/>
    <w:rsid w:val="00B16C9A"/>
    <w:rsid w:val="00B219F1"/>
    <w:rsid w:val="00B2625A"/>
    <w:rsid w:val="00B36080"/>
    <w:rsid w:val="00B432F5"/>
    <w:rsid w:val="00B44AB1"/>
    <w:rsid w:val="00B44ED7"/>
    <w:rsid w:val="00B4575D"/>
    <w:rsid w:val="00B46994"/>
    <w:rsid w:val="00B501C4"/>
    <w:rsid w:val="00B5042A"/>
    <w:rsid w:val="00B51129"/>
    <w:rsid w:val="00B53A46"/>
    <w:rsid w:val="00B53D0D"/>
    <w:rsid w:val="00B55D9C"/>
    <w:rsid w:val="00B60A91"/>
    <w:rsid w:val="00B646E5"/>
    <w:rsid w:val="00B65BE9"/>
    <w:rsid w:val="00B66B52"/>
    <w:rsid w:val="00B707D8"/>
    <w:rsid w:val="00B74310"/>
    <w:rsid w:val="00B750A0"/>
    <w:rsid w:val="00B7576E"/>
    <w:rsid w:val="00B75AEB"/>
    <w:rsid w:val="00B76321"/>
    <w:rsid w:val="00B8130A"/>
    <w:rsid w:val="00B82091"/>
    <w:rsid w:val="00B84D3A"/>
    <w:rsid w:val="00B85487"/>
    <w:rsid w:val="00B871AC"/>
    <w:rsid w:val="00B912DB"/>
    <w:rsid w:val="00B9192D"/>
    <w:rsid w:val="00B93545"/>
    <w:rsid w:val="00B94CC5"/>
    <w:rsid w:val="00B9524B"/>
    <w:rsid w:val="00BA3315"/>
    <w:rsid w:val="00BA5791"/>
    <w:rsid w:val="00BA7D0C"/>
    <w:rsid w:val="00BC0DBE"/>
    <w:rsid w:val="00BC1274"/>
    <w:rsid w:val="00BC241A"/>
    <w:rsid w:val="00BC32B1"/>
    <w:rsid w:val="00BD0616"/>
    <w:rsid w:val="00BD3613"/>
    <w:rsid w:val="00BD5DEA"/>
    <w:rsid w:val="00BD6E75"/>
    <w:rsid w:val="00BE0AAF"/>
    <w:rsid w:val="00BE17ED"/>
    <w:rsid w:val="00BF3690"/>
    <w:rsid w:val="00C02D36"/>
    <w:rsid w:val="00C04080"/>
    <w:rsid w:val="00C04417"/>
    <w:rsid w:val="00C06A48"/>
    <w:rsid w:val="00C105A8"/>
    <w:rsid w:val="00C15B96"/>
    <w:rsid w:val="00C20D42"/>
    <w:rsid w:val="00C210E8"/>
    <w:rsid w:val="00C22E3B"/>
    <w:rsid w:val="00C241B7"/>
    <w:rsid w:val="00C24353"/>
    <w:rsid w:val="00C254AD"/>
    <w:rsid w:val="00C30A29"/>
    <w:rsid w:val="00C34341"/>
    <w:rsid w:val="00C4571E"/>
    <w:rsid w:val="00C46C0C"/>
    <w:rsid w:val="00C508CC"/>
    <w:rsid w:val="00C54C97"/>
    <w:rsid w:val="00C57363"/>
    <w:rsid w:val="00C60700"/>
    <w:rsid w:val="00C612C3"/>
    <w:rsid w:val="00C62A56"/>
    <w:rsid w:val="00C650C5"/>
    <w:rsid w:val="00C6708E"/>
    <w:rsid w:val="00C677BD"/>
    <w:rsid w:val="00C74791"/>
    <w:rsid w:val="00C74EE3"/>
    <w:rsid w:val="00C74F07"/>
    <w:rsid w:val="00C756E4"/>
    <w:rsid w:val="00C77CE2"/>
    <w:rsid w:val="00C80484"/>
    <w:rsid w:val="00C811EE"/>
    <w:rsid w:val="00C81EAD"/>
    <w:rsid w:val="00C83384"/>
    <w:rsid w:val="00C94392"/>
    <w:rsid w:val="00C94965"/>
    <w:rsid w:val="00C95260"/>
    <w:rsid w:val="00C975D8"/>
    <w:rsid w:val="00C978FF"/>
    <w:rsid w:val="00CA15CD"/>
    <w:rsid w:val="00CA319F"/>
    <w:rsid w:val="00CA4DA6"/>
    <w:rsid w:val="00CB07E2"/>
    <w:rsid w:val="00CB1AE6"/>
    <w:rsid w:val="00CB1CAC"/>
    <w:rsid w:val="00CB477B"/>
    <w:rsid w:val="00CC6BB9"/>
    <w:rsid w:val="00CD0B75"/>
    <w:rsid w:val="00CD3C5C"/>
    <w:rsid w:val="00CD3D09"/>
    <w:rsid w:val="00CD5385"/>
    <w:rsid w:val="00CD6196"/>
    <w:rsid w:val="00CD624E"/>
    <w:rsid w:val="00CD668F"/>
    <w:rsid w:val="00CD67B8"/>
    <w:rsid w:val="00CD6F9B"/>
    <w:rsid w:val="00CE3980"/>
    <w:rsid w:val="00CE45CA"/>
    <w:rsid w:val="00CE53FC"/>
    <w:rsid w:val="00CF2C69"/>
    <w:rsid w:val="00CF6766"/>
    <w:rsid w:val="00CF7B6F"/>
    <w:rsid w:val="00D002FA"/>
    <w:rsid w:val="00D01704"/>
    <w:rsid w:val="00D029AF"/>
    <w:rsid w:val="00D02C92"/>
    <w:rsid w:val="00D034B8"/>
    <w:rsid w:val="00D0738F"/>
    <w:rsid w:val="00D07490"/>
    <w:rsid w:val="00D10591"/>
    <w:rsid w:val="00D1529A"/>
    <w:rsid w:val="00D17FC6"/>
    <w:rsid w:val="00D204A4"/>
    <w:rsid w:val="00D20507"/>
    <w:rsid w:val="00D267F5"/>
    <w:rsid w:val="00D32604"/>
    <w:rsid w:val="00D34CEE"/>
    <w:rsid w:val="00D35FE3"/>
    <w:rsid w:val="00D47AD6"/>
    <w:rsid w:val="00D50EFE"/>
    <w:rsid w:val="00D51628"/>
    <w:rsid w:val="00D52560"/>
    <w:rsid w:val="00D53A6D"/>
    <w:rsid w:val="00D53A7D"/>
    <w:rsid w:val="00D55ECD"/>
    <w:rsid w:val="00D602DC"/>
    <w:rsid w:val="00D63C60"/>
    <w:rsid w:val="00D63FAB"/>
    <w:rsid w:val="00D64445"/>
    <w:rsid w:val="00D64ECE"/>
    <w:rsid w:val="00D6613D"/>
    <w:rsid w:val="00D66452"/>
    <w:rsid w:val="00D707AB"/>
    <w:rsid w:val="00D75CEB"/>
    <w:rsid w:val="00D77721"/>
    <w:rsid w:val="00D77A49"/>
    <w:rsid w:val="00D77DD3"/>
    <w:rsid w:val="00D8127B"/>
    <w:rsid w:val="00D82F75"/>
    <w:rsid w:val="00D85076"/>
    <w:rsid w:val="00D86553"/>
    <w:rsid w:val="00D870E3"/>
    <w:rsid w:val="00D90AAF"/>
    <w:rsid w:val="00D92339"/>
    <w:rsid w:val="00D93858"/>
    <w:rsid w:val="00DA0A50"/>
    <w:rsid w:val="00DA16D9"/>
    <w:rsid w:val="00DA23B4"/>
    <w:rsid w:val="00DA3EBB"/>
    <w:rsid w:val="00DA5307"/>
    <w:rsid w:val="00DA6EE9"/>
    <w:rsid w:val="00DA7EE3"/>
    <w:rsid w:val="00DB0F0C"/>
    <w:rsid w:val="00DB3C3B"/>
    <w:rsid w:val="00DB3D25"/>
    <w:rsid w:val="00DB7C13"/>
    <w:rsid w:val="00DC1007"/>
    <w:rsid w:val="00DC7B51"/>
    <w:rsid w:val="00DC7D9D"/>
    <w:rsid w:val="00DD09E4"/>
    <w:rsid w:val="00DD2949"/>
    <w:rsid w:val="00DD3EED"/>
    <w:rsid w:val="00DD608F"/>
    <w:rsid w:val="00DE25CA"/>
    <w:rsid w:val="00DE5032"/>
    <w:rsid w:val="00DE533E"/>
    <w:rsid w:val="00DE680F"/>
    <w:rsid w:val="00DF1B58"/>
    <w:rsid w:val="00DF3BDC"/>
    <w:rsid w:val="00E05D40"/>
    <w:rsid w:val="00E10EFE"/>
    <w:rsid w:val="00E11FA6"/>
    <w:rsid w:val="00E12862"/>
    <w:rsid w:val="00E138A0"/>
    <w:rsid w:val="00E20DA4"/>
    <w:rsid w:val="00E241BC"/>
    <w:rsid w:val="00E243FB"/>
    <w:rsid w:val="00E26C7F"/>
    <w:rsid w:val="00E27DEB"/>
    <w:rsid w:val="00E30513"/>
    <w:rsid w:val="00E328D0"/>
    <w:rsid w:val="00E32CCF"/>
    <w:rsid w:val="00E36B37"/>
    <w:rsid w:val="00E373A9"/>
    <w:rsid w:val="00E44DDA"/>
    <w:rsid w:val="00E45114"/>
    <w:rsid w:val="00E45492"/>
    <w:rsid w:val="00E4560F"/>
    <w:rsid w:val="00E50422"/>
    <w:rsid w:val="00E504C1"/>
    <w:rsid w:val="00E546DC"/>
    <w:rsid w:val="00E54F0E"/>
    <w:rsid w:val="00E6258D"/>
    <w:rsid w:val="00E63AAE"/>
    <w:rsid w:val="00E67619"/>
    <w:rsid w:val="00E71353"/>
    <w:rsid w:val="00E73965"/>
    <w:rsid w:val="00E73CD2"/>
    <w:rsid w:val="00E74517"/>
    <w:rsid w:val="00E76257"/>
    <w:rsid w:val="00E76906"/>
    <w:rsid w:val="00E779A5"/>
    <w:rsid w:val="00E779D3"/>
    <w:rsid w:val="00E81B9E"/>
    <w:rsid w:val="00E87D05"/>
    <w:rsid w:val="00E901BF"/>
    <w:rsid w:val="00E95764"/>
    <w:rsid w:val="00E95A24"/>
    <w:rsid w:val="00E95AFC"/>
    <w:rsid w:val="00EA6F6B"/>
    <w:rsid w:val="00EB03E4"/>
    <w:rsid w:val="00EB11CA"/>
    <w:rsid w:val="00EB23E5"/>
    <w:rsid w:val="00EB307B"/>
    <w:rsid w:val="00EB35D0"/>
    <w:rsid w:val="00EC42EC"/>
    <w:rsid w:val="00EC5839"/>
    <w:rsid w:val="00EC7088"/>
    <w:rsid w:val="00EC7858"/>
    <w:rsid w:val="00ED1FBA"/>
    <w:rsid w:val="00ED3527"/>
    <w:rsid w:val="00ED45DC"/>
    <w:rsid w:val="00ED68EE"/>
    <w:rsid w:val="00ED6C56"/>
    <w:rsid w:val="00EE0FD9"/>
    <w:rsid w:val="00EE170E"/>
    <w:rsid w:val="00EE1A13"/>
    <w:rsid w:val="00EE7C4D"/>
    <w:rsid w:val="00EF10F8"/>
    <w:rsid w:val="00EF5964"/>
    <w:rsid w:val="00EF6EA3"/>
    <w:rsid w:val="00EF6EDE"/>
    <w:rsid w:val="00F0061D"/>
    <w:rsid w:val="00F007BB"/>
    <w:rsid w:val="00F036FD"/>
    <w:rsid w:val="00F03AD0"/>
    <w:rsid w:val="00F05BEE"/>
    <w:rsid w:val="00F05F38"/>
    <w:rsid w:val="00F0682A"/>
    <w:rsid w:val="00F06A1B"/>
    <w:rsid w:val="00F10556"/>
    <w:rsid w:val="00F114B2"/>
    <w:rsid w:val="00F12E96"/>
    <w:rsid w:val="00F13B4C"/>
    <w:rsid w:val="00F15995"/>
    <w:rsid w:val="00F1626C"/>
    <w:rsid w:val="00F1644C"/>
    <w:rsid w:val="00F168E8"/>
    <w:rsid w:val="00F21E94"/>
    <w:rsid w:val="00F223F0"/>
    <w:rsid w:val="00F237D2"/>
    <w:rsid w:val="00F23CCE"/>
    <w:rsid w:val="00F36525"/>
    <w:rsid w:val="00F41F19"/>
    <w:rsid w:val="00F42672"/>
    <w:rsid w:val="00F42E8A"/>
    <w:rsid w:val="00F435B9"/>
    <w:rsid w:val="00F44EF7"/>
    <w:rsid w:val="00F47508"/>
    <w:rsid w:val="00F50FC7"/>
    <w:rsid w:val="00F523B1"/>
    <w:rsid w:val="00F52C25"/>
    <w:rsid w:val="00F56AFF"/>
    <w:rsid w:val="00F60660"/>
    <w:rsid w:val="00F60BB6"/>
    <w:rsid w:val="00F60BFF"/>
    <w:rsid w:val="00F634C8"/>
    <w:rsid w:val="00F708DA"/>
    <w:rsid w:val="00F70932"/>
    <w:rsid w:val="00F737CF"/>
    <w:rsid w:val="00F75E95"/>
    <w:rsid w:val="00F80869"/>
    <w:rsid w:val="00F853AB"/>
    <w:rsid w:val="00F92738"/>
    <w:rsid w:val="00F95C5D"/>
    <w:rsid w:val="00F97566"/>
    <w:rsid w:val="00F97780"/>
    <w:rsid w:val="00F97C09"/>
    <w:rsid w:val="00FA30E8"/>
    <w:rsid w:val="00FA37F2"/>
    <w:rsid w:val="00FA56A4"/>
    <w:rsid w:val="00FA60DF"/>
    <w:rsid w:val="00FA61E1"/>
    <w:rsid w:val="00FB1E94"/>
    <w:rsid w:val="00FB2E6F"/>
    <w:rsid w:val="00FB30FA"/>
    <w:rsid w:val="00FB5B9D"/>
    <w:rsid w:val="00FC0849"/>
    <w:rsid w:val="00FC53EA"/>
    <w:rsid w:val="00FC627B"/>
    <w:rsid w:val="00FD27D4"/>
    <w:rsid w:val="00FD2B69"/>
    <w:rsid w:val="00FD5CFC"/>
    <w:rsid w:val="00FD720D"/>
    <w:rsid w:val="00FD75BD"/>
    <w:rsid w:val="00FD7888"/>
    <w:rsid w:val="00FD7944"/>
    <w:rsid w:val="00FE0041"/>
    <w:rsid w:val="00FE0DE5"/>
    <w:rsid w:val="00FE1709"/>
    <w:rsid w:val="00FE1E88"/>
    <w:rsid w:val="00FE4984"/>
    <w:rsid w:val="00FE72CA"/>
    <w:rsid w:val="00FE75A7"/>
    <w:rsid w:val="00FE77ED"/>
    <w:rsid w:val="00FF029A"/>
    <w:rsid w:val="00FF4E00"/>
    <w:rsid w:val="00FF5B43"/>
    <w:rsid w:val="00FF6F79"/>
    <w:rsid w:val="232155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semiHidden="0"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spacing w:before="340" w:after="330" w:line="360" w:lineRule="auto"/>
      <w:ind w:right="100" w:rightChars="100"/>
      <w:jc w:val="center"/>
      <w:outlineLvl w:val="0"/>
    </w:pPr>
    <w:rPr>
      <w:b/>
      <w:bCs/>
      <w:kern w:val="44"/>
      <w:sz w:val="32"/>
      <w:szCs w:val="44"/>
      <w:lang w:eastAsia="en-US"/>
    </w:rPr>
  </w:style>
  <w:style w:type="paragraph" w:styleId="3">
    <w:name w:val="heading 2"/>
    <w:basedOn w:val="1"/>
    <w:next w:val="1"/>
    <w:link w:val="39"/>
    <w:qFormat/>
    <w:uiPriority w:val="9"/>
    <w:pPr>
      <w:keepNext/>
      <w:keepLines/>
      <w:widowControl/>
      <w:numPr>
        <w:ilvl w:val="1"/>
        <w:numId w:val="1"/>
      </w:numPr>
      <w:kinsoku w:val="0"/>
      <w:overflowPunct w:val="0"/>
      <w:autoSpaceDN w:val="0"/>
      <w:spacing w:before="260" w:after="260" w:line="360" w:lineRule="auto"/>
      <w:contextualSpacing/>
      <w:jc w:val="left"/>
      <w:outlineLvl w:val="1"/>
    </w:pPr>
    <w:rPr>
      <w:rFonts w:ascii="Arial" w:hAnsi="Arial"/>
      <w:b/>
      <w:bCs/>
      <w:sz w:val="28"/>
      <w:szCs w:val="32"/>
    </w:rPr>
  </w:style>
  <w:style w:type="paragraph" w:styleId="4">
    <w:name w:val="heading 3"/>
    <w:basedOn w:val="1"/>
    <w:next w:val="1"/>
    <w:link w:val="40"/>
    <w:unhideWhenUsed/>
    <w:qFormat/>
    <w:uiPriority w:val="9"/>
    <w:pPr>
      <w:keepNext/>
      <w:numPr>
        <w:ilvl w:val="2"/>
        <w:numId w:val="2"/>
      </w:numPr>
      <w:spacing w:before="100" w:beforeAutospacing="1" w:after="100" w:afterAutospacing="1" w:line="360" w:lineRule="auto"/>
      <w:outlineLvl w:val="2"/>
    </w:pPr>
    <w:rPr>
      <w:bCs/>
      <w:sz w:val="28"/>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uiPriority w:val="39"/>
    <w:pPr>
      <w:ind w:left="1260"/>
      <w:jc w:val="left"/>
    </w:pPr>
    <w:rPr>
      <w:rFonts w:cs="Calibri" w:asciiTheme="minorHAnsi" w:hAnsiTheme="minorHAnsi"/>
      <w:sz w:val="18"/>
      <w:szCs w:val="18"/>
    </w:rPr>
  </w:style>
  <w:style w:type="paragraph" w:styleId="7">
    <w:name w:val="index 8"/>
    <w:basedOn w:val="1"/>
    <w:next w:val="1"/>
    <w:unhideWhenUsed/>
    <w:uiPriority w:val="99"/>
    <w:pPr>
      <w:ind w:left="1680" w:hanging="210"/>
      <w:jc w:val="left"/>
    </w:pPr>
    <w:rPr>
      <w:rFonts w:cs="Calibri"/>
      <w:sz w:val="20"/>
      <w:szCs w:val="20"/>
    </w:rPr>
  </w:style>
  <w:style w:type="paragraph" w:styleId="8">
    <w:name w:val="index 5"/>
    <w:basedOn w:val="1"/>
    <w:next w:val="1"/>
    <w:unhideWhenUsed/>
    <w:uiPriority w:val="99"/>
    <w:pPr>
      <w:ind w:left="1050" w:hanging="210"/>
      <w:jc w:val="left"/>
    </w:pPr>
    <w:rPr>
      <w:rFonts w:cs="Calibri"/>
      <w:sz w:val="20"/>
      <w:szCs w:val="20"/>
    </w:rPr>
  </w:style>
  <w:style w:type="paragraph" w:styleId="9">
    <w:name w:val="annotation text"/>
    <w:basedOn w:val="1"/>
    <w:link w:val="46"/>
    <w:unhideWhenUsed/>
    <w:qFormat/>
    <w:uiPriority w:val="99"/>
    <w:pPr>
      <w:jc w:val="left"/>
    </w:pPr>
  </w:style>
  <w:style w:type="paragraph" w:styleId="10">
    <w:name w:val="index 6"/>
    <w:basedOn w:val="1"/>
    <w:next w:val="1"/>
    <w:unhideWhenUsed/>
    <w:uiPriority w:val="99"/>
    <w:pPr>
      <w:ind w:left="1260" w:hanging="210"/>
      <w:jc w:val="left"/>
    </w:pPr>
    <w:rPr>
      <w:rFonts w:cs="Calibri"/>
      <w:sz w:val="20"/>
      <w:szCs w:val="20"/>
    </w:rPr>
  </w:style>
  <w:style w:type="paragraph" w:styleId="11">
    <w:name w:val="index 4"/>
    <w:basedOn w:val="1"/>
    <w:next w:val="1"/>
    <w:unhideWhenUsed/>
    <w:uiPriority w:val="99"/>
    <w:pPr>
      <w:ind w:left="840" w:hanging="210"/>
      <w:jc w:val="left"/>
    </w:pPr>
    <w:rPr>
      <w:rFonts w:cs="Calibri"/>
      <w:sz w:val="20"/>
      <w:szCs w:val="20"/>
    </w:rPr>
  </w:style>
  <w:style w:type="paragraph" w:styleId="12">
    <w:name w:val="toc 5"/>
    <w:basedOn w:val="1"/>
    <w:next w:val="1"/>
    <w:unhideWhenUsed/>
    <w:uiPriority w:val="39"/>
    <w:pPr>
      <w:ind w:left="840"/>
      <w:jc w:val="left"/>
    </w:pPr>
    <w:rPr>
      <w:rFonts w:cs="Calibri" w:asciiTheme="minorHAnsi" w:hAnsiTheme="minorHAnsi"/>
      <w:sz w:val="18"/>
      <w:szCs w:val="18"/>
    </w:rPr>
  </w:style>
  <w:style w:type="paragraph" w:styleId="13">
    <w:name w:val="toc 3"/>
    <w:basedOn w:val="1"/>
    <w:next w:val="1"/>
    <w:unhideWhenUsed/>
    <w:uiPriority w:val="39"/>
    <w:pPr>
      <w:ind w:left="420"/>
      <w:jc w:val="left"/>
    </w:pPr>
    <w:rPr>
      <w:rFonts w:cs="Calibri" w:asciiTheme="minorHAnsi" w:hAnsiTheme="minorHAnsi"/>
      <w:i/>
      <w:iCs/>
      <w:sz w:val="20"/>
      <w:szCs w:val="20"/>
    </w:rPr>
  </w:style>
  <w:style w:type="paragraph" w:styleId="14">
    <w:name w:val="Plain Text"/>
    <w:basedOn w:val="1"/>
    <w:link w:val="47"/>
    <w:qFormat/>
    <w:uiPriority w:val="0"/>
    <w:pPr>
      <w:keepNext/>
      <w:spacing w:line="360" w:lineRule="auto"/>
      <w:ind w:left="300" w:leftChars="300"/>
    </w:pPr>
    <w:rPr>
      <w:rFonts w:ascii="宋体" w:hAnsi="Courier New" w:cs="Courier New"/>
      <w:sz w:val="28"/>
      <w:szCs w:val="21"/>
    </w:rPr>
  </w:style>
  <w:style w:type="paragraph" w:styleId="15">
    <w:name w:val="toc 8"/>
    <w:basedOn w:val="1"/>
    <w:next w:val="1"/>
    <w:unhideWhenUsed/>
    <w:uiPriority w:val="39"/>
    <w:pPr>
      <w:ind w:left="1470"/>
      <w:jc w:val="left"/>
    </w:pPr>
    <w:rPr>
      <w:rFonts w:cs="Calibri" w:asciiTheme="minorHAnsi" w:hAnsiTheme="minorHAnsi"/>
      <w:sz w:val="18"/>
      <w:szCs w:val="18"/>
    </w:rPr>
  </w:style>
  <w:style w:type="paragraph" w:styleId="16">
    <w:name w:val="index 3"/>
    <w:basedOn w:val="1"/>
    <w:next w:val="1"/>
    <w:unhideWhenUsed/>
    <w:uiPriority w:val="99"/>
    <w:pPr>
      <w:ind w:left="630" w:hanging="210"/>
      <w:jc w:val="left"/>
    </w:pPr>
    <w:rPr>
      <w:rFonts w:cs="Calibri"/>
      <w:sz w:val="20"/>
      <w:szCs w:val="20"/>
    </w:rPr>
  </w:style>
  <w:style w:type="paragraph" w:styleId="17">
    <w:name w:val="Date"/>
    <w:basedOn w:val="1"/>
    <w:next w:val="1"/>
    <w:link w:val="49"/>
    <w:semiHidden/>
    <w:unhideWhenUsed/>
    <w:uiPriority w:val="99"/>
    <w:pPr>
      <w:ind w:left="100" w:leftChars="2500"/>
    </w:pPr>
  </w:style>
  <w:style w:type="paragraph" w:styleId="18">
    <w:name w:val="Balloon Text"/>
    <w:basedOn w:val="1"/>
    <w:link w:val="44"/>
    <w:semiHidden/>
    <w:unhideWhenUsed/>
    <w:uiPriority w:val="99"/>
    <w:rPr>
      <w:sz w:val="18"/>
      <w:szCs w:val="18"/>
    </w:rPr>
  </w:style>
  <w:style w:type="paragraph" w:styleId="19">
    <w:name w:val="footer"/>
    <w:basedOn w:val="1"/>
    <w:link w:val="42"/>
    <w:unhideWhenUsed/>
    <w:uiPriority w:val="99"/>
    <w:pPr>
      <w:tabs>
        <w:tab w:val="center" w:pos="4153"/>
        <w:tab w:val="right" w:pos="8306"/>
      </w:tabs>
      <w:snapToGrid w:val="0"/>
      <w:jc w:val="left"/>
    </w:pPr>
    <w:rPr>
      <w:sz w:val="18"/>
      <w:szCs w:val="18"/>
    </w:rPr>
  </w:style>
  <w:style w:type="paragraph" w:styleId="20">
    <w:name w:val="header"/>
    <w:basedOn w:val="1"/>
    <w:link w:val="43"/>
    <w:unhideWhenUsed/>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uiPriority w:val="39"/>
    <w:pPr>
      <w:spacing w:before="120" w:after="120"/>
      <w:jc w:val="left"/>
    </w:pPr>
    <w:rPr>
      <w:rFonts w:cs="Calibri" w:asciiTheme="minorHAnsi" w:hAnsiTheme="minorHAnsi"/>
      <w:b/>
      <w:bCs/>
      <w:caps/>
      <w:sz w:val="20"/>
      <w:szCs w:val="20"/>
    </w:rPr>
  </w:style>
  <w:style w:type="paragraph" w:styleId="22">
    <w:name w:val="toc 4"/>
    <w:basedOn w:val="1"/>
    <w:next w:val="1"/>
    <w:unhideWhenUsed/>
    <w:uiPriority w:val="39"/>
    <w:pPr>
      <w:ind w:left="630"/>
      <w:jc w:val="left"/>
    </w:pPr>
    <w:rPr>
      <w:rFonts w:cs="Calibri" w:asciiTheme="minorHAnsi" w:hAnsiTheme="minorHAnsi"/>
      <w:sz w:val="18"/>
      <w:szCs w:val="18"/>
    </w:rPr>
  </w:style>
  <w:style w:type="paragraph" w:styleId="23">
    <w:name w:val="index heading"/>
    <w:basedOn w:val="1"/>
    <w:next w:val="24"/>
    <w:unhideWhenUsed/>
    <w:uiPriority w:val="99"/>
    <w:pPr>
      <w:spacing w:before="120" w:after="120"/>
      <w:jc w:val="left"/>
    </w:pPr>
    <w:rPr>
      <w:rFonts w:cs="Calibri"/>
      <w:b/>
      <w:bCs/>
      <w:i/>
      <w:iCs/>
      <w:sz w:val="20"/>
      <w:szCs w:val="20"/>
    </w:rPr>
  </w:style>
  <w:style w:type="paragraph" w:styleId="24">
    <w:name w:val="index 1"/>
    <w:basedOn w:val="1"/>
    <w:next w:val="1"/>
    <w:unhideWhenUsed/>
    <w:uiPriority w:val="99"/>
    <w:pPr>
      <w:ind w:left="210" w:hanging="210"/>
      <w:jc w:val="left"/>
    </w:pPr>
    <w:rPr>
      <w:rFonts w:cs="Calibri"/>
      <w:sz w:val="20"/>
      <w:szCs w:val="20"/>
    </w:rPr>
  </w:style>
  <w:style w:type="paragraph" w:styleId="25">
    <w:name w:val="toc 6"/>
    <w:basedOn w:val="1"/>
    <w:next w:val="1"/>
    <w:unhideWhenUsed/>
    <w:uiPriority w:val="39"/>
    <w:pPr>
      <w:ind w:left="1050"/>
      <w:jc w:val="left"/>
    </w:pPr>
    <w:rPr>
      <w:rFonts w:cs="Calibri" w:asciiTheme="minorHAnsi" w:hAnsiTheme="minorHAnsi"/>
      <w:sz w:val="18"/>
      <w:szCs w:val="18"/>
    </w:rPr>
  </w:style>
  <w:style w:type="paragraph" w:styleId="26">
    <w:name w:val="index 7"/>
    <w:basedOn w:val="1"/>
    <w:next w:val="1"/>
    <w:unhideWhenUsed/>
    <w:uiPriority w:val="99"/>
    <w:pPr>
      <w:ind w:left="1470" w:hanging="210"/>
      <w:jc w:val="left"/>
    </w:pPr>
    <w:rPr>
      <w:rFonts w:cs="Calibri"/>
      <w:sz w:val="20"/>
      <w:szCs w:val="20"/>
    </w:rPr>
  </w:style>
  <w:style w:type="paragraph" w:styleId="27">
    <w:name w:val="index 9"/>
    <w:basedOn w:val="1"/>
    <w:next w:val="1"/>
    <w:unhideWhenUsed/>
    <w:uiPriority w:val="99"/>
    <w:pPr>
      <w:ind w:left="1890" w:hanging="210"/>
      <w:jc w:val="left"/>
    </w:pPr>
    <w:rPr>
      <w:rFonts w:cs="Calibri"/>
      <w:sz w:val="20"/>
      <w:szCs w:val="20"/>
    </w:rPr>
  </w:style>
  <w:style w:type="paragraph" w:styleId="28">
    <w:name w:val="table of figures"/>
    <w:basedOn w:val="1"/>
    <w:next w:val="1"/>
    <w:unhideWhenUsed/>
    <w:uiPriority w:val="99"/>
    <w:pPr>
      <w:ind w:left="420" w:hanging="420"/>
      <w:jc w:val="left"/>
    </w:pPr>
    <w:rPr>
      <w:rFonts w:cs="Calibri"/>
      <w:smallCaps/>
      <w:sz w:val="20"/>
      <w:szCs w:val="20"/>
    </w:rPr>
  </w:style>
  <w:style w:type="paragraph" w:styleId="29">
    <w:name w:val="toc 2"/>
    <w:basedOn w:val="1"/>
    <w:next w:val="1"/>
    <w:unhideWhenUsed/>
    <w:uiPriority w:val="39"/>
    <w:pPr>
      <w:ind w:left="210"/>
      <w:jc w:val="left"/>
    </w:pPr>
    <w:rPr>
      <w:rFonts w:cs="Calibri" w:asciiTheme="minorHAnsi" w:hAnsiTheme="minorHAnsi"/>
      <w:smallCaps/>
      <w:sz w:val="20"/>
      <w:szCs w:val="20"/>
    </w:rPr>
  </w:style>
  <w:style w:type="paragraph" w:styleId="30">
    <w:name w:val="toc 9"/>
    <w:basedOn w:val="1"/>
    <w:next w:val="1"/>
    <w:unhideWhenUsed/>
    <w:uiPriority w:val="39"/>
    <w:pPr>
      <w:ind w:left="1680"/>
      <w:jc w:val="left"/>
    </w:pPr>
    <w:rPr>
      <w:rFonts w:cs="Calibri" w:asciiTheme="minorHAnsi" w:hAnsiTheme="minorHAnsi"/>
      <w:sz w:val="18"/>
      <w:szCs w:val="18"/>
    </w:rPr>
  </w:style>
  <w:style w:type="paragraph" w:styleId="31">
    <w:name w:val="index 2"/>
    <w:basedOn w:val="1"/>
    <w:next w:val="1"/>
    <w:unhideWhenUsed/>
    <w:uiPriority w:val="99"/>
    <w:pPr>
      <w:ind w:left="420" w:hanging="210"/>
      <w:jc w:val="left"/>
    </w:pPr>
    <w:rPr>
      <w:rFonts w:cs="Calibri"/>
      <w:sz w:val="20"/>
      <w:szCs w:val="20"/>
    </w:rPr>
  </w:style>
  <w:style w:type="paragraph" w:styleId="32">
    <w:name w:val="annotation subject"/>
    <w:basedOn w:val="9"/>
    <w:next w:val="9"/>
    <w:link w:val="48"/>
    <w:semiHidden/>
    <w:unhideWhenUsed/>
    <w:uiPriority w:val="99"/>
    <w:rPr>
      <w:b/>
      <w:bCs/>
    </w:rPr>
  </w:style>
  <w:style w:type="table" w:styleId="34">
    <w:name w:val="Table Grid"/>
    <w:basedOn w:val="33"/>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Hyperlink"/>
    <w:basedOn w:val="35"/>
    <w:unhideWhenUsed/>
    <w:uiPriority w:val="99"/>
    <w:rPr>
      <w:rFonts w:cs="Times New Roman"/>
      <w:color w:val="0000FF"/>
      <w:u w:val="single"/>
    </w:rPr>
  </w:style>
  <w:style w:type="character" w:styleId="37">
    <w:name w:val="annotation reference"/>
    <w:basedOn w:val="35"/>
    <w:qFormat/>
    <w:uiPriority w:val="99"/>
    <w:rPr>
      <w:rFonts w:cs="Times New Roman"/>
      <w:sz w:val="21"/>
    </w:rPr>
  </w:style>
  <w:style w:type="character" w:customStyle="1" w:styleId="38">
    <w:name w:val="标题 1 Char"/>
    <w:basedOn w:val="35"/>
    <w:link w:val="2"/>
    <w:qFormat/>
    <w:locked/>
    <w:uiPriority w:val="9"/>
    <w:rPr>
      <w:rFonts w:cs="Times New Roman"/>
      <w:b/>
      <w:kern w:val="44"/>
      <w:sz w:val="44"/>
      <w:lang w:val="zh-CN" w:eastAsia="en-US"/>
    </w:rPr>
  </w:style>
  <w:style w:type="character" w:customStyle="1" w:styleId="39">
    <w:name w:val="标题 2 Char"/>
    <w:basedOn w:val="35"/>
    <w:link w:val="3"/>
    <w:qFormat/>
    <w:locked/>
    <w:uiPriority w:val="9"/>
    <w:rPr>
      <w:rFonts w:ascii="Arial" w:hAnsi="Arial"/>
      <w:b/>
      <w:bCs/>
      <w:kern w:val="2"/>
      <w:sz w:val="28"/>
      <w:szCs w:val="32"/>
    </w:rPr>
  </w:style>
  <w:style w:type="character" w:customStyle="1" w:styleId="40">
    <w:name w:val="标题 3 Char"/>
    <w:basedOn w:val="35"/>
    <w:link w:val="4"/>
    <w:locked/>
    <w:uiPriority w:val="9"/>
    <w:rPr>
      <w:bCs/>
      <w:kern w:val="2"/>
      <w:sz w:val="28"/>
      <w:szCs w:val="32"/>
    </w:rPr>
  </w:style>
  <w:style w:type="character" w:customStyle="1" w:styleId="41">
    <w:name w:val="标题 4 Char"/>
    <w:basedOn w:val="35"/>
    <w:link w:val="5"/>
    <w:locked/>
    <w:uiPriority w:val="9"/>
    <w:rPr>
      <w:rFonts w:ascii="Cambria" w:hAnsi="Cambria" w:eastAsia="宋体" w:cs="Times New Roman"/>
      <w:b/>
      <w:kern w:val="2"/>
      <w:sz w:val="28"/>
    </w:rPr>
  </w:style>
  <w:style w:type="character" w:customStyle="1" w:styleId="42">
    <w:name w:val="页脚 Char"/>
    <w:basedOn w:val="35"/>
    <w:link w:val="19"/>
    <w:locked/>
    <w:uiPriority w:val="99"/>
    <w:rPr>
      <w:rFonts w:cs="Times New Roman"/>
      <w:sz w:val="18"/>
    </w:rPr>
  </w:style>
  <w:style w:type="character" w:customStyle="1" w:styleId="43">
    <w:name w:val="页眉 Char"/>
    <w:basedOn w:val="35"/>
    <w:link w:val="20"/>
    <w:locked/>
    <w:uiPriority w:val="99"/>
    <w:rPr>
      <w:rFonts w:cs="Times New Roman"/>
      <w:sz w:val="18"/>
    </w:rPr>
  </w:style>
  <w:style w:type="character" w:customStyle="1" w:styleId="44">
    <w:name w:val="批注框文本 Char"/>
    <w:basedOn w:val="35"/>
    <w:link w:val="18"/>
    <w:semiHidden/>
    <w:locked/>
    <w:uiPriority w:val="99"/>
    <w:rPr>
      <w:rFonts w:cs="Times New Roman"/>
      <w:sz w:val="18"/>
    </w:rPr>
  </w:style>
  <w:style w:type="paragraph" w:customStyle="1" w:styleId="45">
    <w:name w:val="TOC Heading"/>
    <w:basedOn w:val="2"/>
    <w:next w:val="1"/>
    <w:semiHidden/>
    <w:unhideWhenUsed/>
    <w:qFormat/>
    <w:uiPriority w:val="39"/>
    <w:pPr>
      <w:widowControl/>
      <w:spacing w:before="480" w:after="0" w:line="276" w:lineRule="auto"/>
      <w:outlineLvl w:val="9"/>
    </w:pPr>
    <w:rPr>
      <w:rFonts w:ascii="Cambria" w:hAnsi="Cambria"/>
      <w:color w:val="365F91"/>
      <w:kern w:val="0"/>
      <w:sz w:val="28"/>
      <w:szCs w:val="28"/>
      <w:lang w:eastAsia="zh-CN"/>
    </w:rPr>
  </w:style>
  <w:style w:type="character" w:customStyle="1" w:styleId="46">
    <w:name w:val="批注文字 Char"/>
    <w:basedOn w:val="35"/>
    <w:link w:val="9"/>
    <w:qFormat/>
    <w:locked/>
    <w:uiPriority w:val="99"/>
    <w:rPr>
      <w:rFonts w:cs="Times New Roman"/>
      <w:kern w:val="2"/>
      <w:sz w:val="22"/>
    </w:rPr>
  </w:style>
  <w:style w:type="character" w:customStyle="1" w:styleId="47">
    <w:name w:val="纯文本 Char"/>
    <w:basedOn w:val="35"/>
    <w:link w:val="14"/>
    <w:qFormat/>
    <w:locked/>
    <w:uiPriority w:val="0"/>
    <w:rPr>
      <w:rFonts w:ascii="宋体" w:hAnsi="Courier New" w:cs="Times New Roman"/>
      <w:kern w:val="2"/>
      <w:sz w:val="21"/>
    </w:rPr>
  </w:style>
  <w:style w:type="character" w:customStyle="1" w:styleId="48">
    <w:name w:val="批注主题 Char"/>
    <w:basedOn w:val="46"/>
    <w:link w:val="32"/>
    <w:semiHidden/>
    <w:locked/>
    <w:uiPriority w:val="99"/>
    <w:rPr>
      <w:rFonts w:cs="Times New Roman"/>
      <w:b/>
      <w:bCs/>
      <w:kern w:val="2"/>
      <w:sz w:val="22"/>
      <w:szCs w:val="22"/>
    </w:rPr>
  </w:style>
  <w:style w:type="character" w:customStyle="1" w:styleId="49">
    <w:name w:val="日期 Char"/>
    <w:basedOn w:val="35"/>
    <w:link w:val="17"/>
    <w:semiHidden/>
    <w:locked/>
    <w:uiPriority w:val="99"/>
    <w:rPr>
      <w:rFonts w:cs="Times New Roman"/>
      <w:kern w:val="2"/>
      <w:sz w:val="22"/>
      <w:szCs w:val="22"/>
    </w:rPr>
  </w:style>
  <w:style w:type="paragraph" w:customStyle="1" w:styleId="50">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9B078-177A-4563-A38B-888748225139}">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57</Pages>
  <Words>7803</Words>
  <Characters>44483</Characters>
  <Lines>370</Lines>
  <Paragraphs>104</Paragraphs>
  <TotalTime>860</TotalTime>
  <ScaleCrop>false</ScaleCrop>
  <LinksUpToDate>false</LinksUpToDate>
  <CharactersWithSpaces>52182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2017-11-28T04:23:00Z</dcterms:created>
  <dc:creator>Administrator</dc:creator>
  <cp:lastModifiedBy>雷志鹏</cp:lastModifiedBy>
  <cp:lastPrinted>2020-10-30T07:17:00Z</cp:lastPrinted>
  <dcterms:modified xsi:type="dcterms:W3CDTF">2021-12-07T09:40:43Z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