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150" w:after="150"/>
        <w:jc w:val="center"/>
        <w:rPr>
          <w:rFonts w:ascii="仿宋" w:hAnsi="仿宋" w:eastAsia="仿宋" w:cs="仿宋"/>
          <w:sz w:val="24"/>
          <w:szCs w:val="24"/>
          <w:shd w:val="clear" w:color="auto" w:fill="FFFFFF"/>
        </w:rPr>
      </w:pPr>
      <w:r>
        <w:rPr>
          <w:rFonts w:hint="eastAsia" w:ascii="仿宋" w:hAnsi="仿宋" w:eastAsia="仿宋" w:cs="仿宋"/>
          <w:sz w:val="24"/>
          <w:szCs w:val="24"/>
          <w:shd w:val="clear" w:color="auto" w:fill="FFFFFF"/>
        </w:rPr>
        <w:t>西乡至镇巴高速公路交工验收质量检测服务</w:t>
      </w:r>
    </w:p>
    <w:p>
      <w:pPr>
        <w:pStyle w:val="2"/>
        <w:widowControl/>
        <w:spacing w:before="150" w:after="150"/>
        <w:jc w:val="center"/>
        <w:rPr>
          <w:rFonts w:ascii="仿宋" w:hAnsi="仿宋" w:eastAsia="仿宋" w:cs="仿宋"/>
          <w:sz w:val="24"/>
          <w:szCs w:val="24"/>
        </w:rPr>
      </w:pPr>
      <w:r>
        <w:rPr>
          <w:rFonts w:hint="eastAsia" w:ascii="仿宋" w:hAnsi="仿宋" w:eastAsia="仿宋" w:cs="仿宋"/>
          <w:sz w:val="24"/>
          <w:szCs w:val="24"/>
          <w:shd w:val="clear" w:color="auto" w:fill="FFFFFF"/>
        </w:rPr>
        <w:t>XZ-LJJC01标段招标评标结果公示</w:t>
      </w:r>
    </w:p>
    <w:p>
      <w:pPr>
        <w:pStyle w:val="6"/>
        <w:widowControl/>
        <w:spacing w:line="405" w:lineRule="atLeast"/>
        <w:ind w:firstLine="420"/>
        <w:rPr>
          <w:rFonts w:ascii="仿宋" w:hAnsi="仿宋" w:eastAsia="仿宋" w:cs="仿宋"/>
          <w:spacing w:val="-6"/>
          <w:kern w:val="2"/>
          <w:sz w:val="21"/>
          <w:szCs w:val="21"/>
          <w:shd w:val="clear" w:color="auto" w:fill="FFFFFF"/>
        </w:rPr>
      </w:pPr>
      <w:r>
        <w:rPr>
          <w:rFonts w:hint="eastAsia" w:ascii="仿宋" w:hAnsi="仿宋" w:eastAsia="仿宋" w:cs="仿宋"/>
          <w:spacing w:val="-6"/>
          <w:kern w:val="2"/>
          <w:sz w:val="21"/>
          <w:szCs w:val="21"/>
          <w:shd w:val="clear" w:color="auto" w:fill="FFFFFF"/>
        </w:rPr>
        <w:t>西乡至镇巴高速公路交工验收质量检测服务XZ-LJJC01标段在国内进行公开招标。项目法人陕西省高速公路建设集团公司组织完成了评标工作。现将中标候选人名单公示如下：</w:t>
      </w:r>
    </w:p>
    <w:p>
      <w:pPr>
        <w:pStyle w:val="6"/>
        <w:widowControl/>
        <w:spacing w:line="405" w:lineRule="atLeast"/>
        <w:ind w:firstLine="420"/>
        <w:rPr>
          <w:rFonts w:ascii="仿宋" w:hAnsi="仿宋" w:eastAsia="仿宋" w:cs="仿宋"/>
          <w:spacing w:val="-6"/>
          <w:kern w:val="2"/>
          <w:sz w:val="21"/>
          <w:szCs w:val="21"/>
          <w:shd w:val="clear" w:color="auto" w:fill="FFFFFF"/>
        </w:rPr>
      </w:pPr>
    </w:p>
    <w:tbl>
      <w:tblPr>
        <w:tblStyle w:val="7"/>
        <w:tblW w:w="8285" w:type="dxa"/>
        <w:jc w:val="center"/>
        <w:tblInd w:w="-2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3652"/>
        <w:gridCol w:w="1634"/>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397" w:hRule="atLeast"/>
          <w:jc w:val="center"/>
        </w:trPr>
        <w:tc>
          <w:tcPr>
            <w:tcW w:w="1266"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 xml:space="preserve">标段 </w:t>
            </w:r>
          </w:p>
        </w:tc>
        <w:tc>
          <w:tcPr>
            <w:tcW w:w="3652"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投标人名称</w:t>
            </w:r>
          </w:p>
        </w:tc>
        <w:tc>
          <w:tcPr>
            <w:tcW w:w="1634"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预期中标价</w:t>
            </w:r>
          </w:p>
          <w:p>
            <w:pPr>
              <w:spacing w:line="300" w:lineRule="exact"/>
              <w:jc w:val="center"/>
              <w:rPr>
                <w:rFonts w:ascii="仿宋" w:hAnsi="仿宋" w:eastAsia="仿宋" w:cs="仿宋"/>
                <w:b/>
                <w:szCs w:val="21"/>
              </w:rPr>
            </w:pPr>
            <w:r>
              <w:rPr>
                <w:rFonts w:hint="eastAsia" w:ascii="仿宋" w:hAnsi="仿宋" w:eastAsia="仿宋" w:cs="仿宋"/>
                <w:b/>
                <w:szCs w:val="21"/>
              </w:rPr>
              <w:t>（元）</w:t>
            </w:r>
          </w:p>
        </w:tc>
        <w:tc>
          <w:tcPr>
            <w:tcW w:w="1733" w:type="dxa"/>
            <w:vAlign w:val="center"/>
          </w:tcPr>
          <w:p>
            <w:pPr>
              <w:spacing w:line="300" w:lineRule="exact"/>
              <w:jc w:val="center"/>
              <w:rPr>
                <w:rFonts w:ascii="仿宋" w:hAnsi="仿宋" w:eastAsia="仿宋" w:cs="仿宋"/>
                <w:b/>
                <w:szCs w:val="21"/>
              </w:rPr>
            </w:pPr>
            <w:r>
              <w:rPr>
                <w:rFonts w:hint="eastAsia" w:ascii="仿宋" w:hAnsi="仿宋" w:eastAsia="仿宋" w:cs="仿宋"/>
                <w:b/>
                <w:szCs w:val="21"/>
              </w:rPr>
              <w:t>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4" w:hRule="atLeast"/>
          <w:jc w:val="center"/>
        </w:trPr>
        <w:tc>
          <w:tcPr>
            <w:tcW w:w="1266" w:type="dxa"/>
            <w:vMerge w:val="restart"/>
            <w:vAlign w:val="center"/>
          </w:tcPr>
          <w:p>
            <w:pPr>
              <w:jc w:val="center"/>
              <w:rPr>
                <w:rFonts w:ascii="仿宋" w:hAnsi="仿宋" w:eastAsia="仿宋" w:cs="仿宋"/>
                <w:szCs w:val="21"/>
              </w:rPr>
            </w:pPr>
            <w:r>
              <w:rPr>
                <w:rFonts w:hint="eastAsia" w:ascii="仿宋" w:hAnsi="仿宋" w:eastAsia="仿宋" w:cs="仿宋"/>
                <w:szCs w:val="21"/>
              </w:rPr>
              <w:t>XZ-LJJC01</w:t>
            </w:r>
          </w:p>
        </w:tc>
        <w:tc>
          <w:tcPr>
            <w:tcW w:w="3652" w:type="dxa"/>
            <w:vAlign w:val="center"/>
          </w:tcPr>
          <w:p>
            <w:pPr>
              <w:rPr>
                <w:rFonts w:ascii="仿宋" w:hAnsi="仿宋" w:eastAsia="仿宋" w:cs="宋体"/>
                <w:color w:val="000000"/>
                <w:szCs w:val="21"/>
              </w:rPr>
            </w:pPr>
            <w:r>
              <w:rPr>
                <w:rFonts w:hint="eastAsia" w:ascii="仿宋" w:hAnsi="仿宋" w:eastAsia="仿宋"/>
                <w:color w:val="000000"/>
                <w:szCs w:val="21"/>
              </w:rPr>
              <w:t>中咨公路养护检测技术有限公司</w:t>
            </w:r>
          </w:p>
        </w:tc>
        <w:tc>
          <w:tcPr>
            <w:tcW w:w="1634" w:type="dxa"/>
            <w:vAlign w:val="center"/>
          </w:tcPr>
          <w:p>
            <w:pPr>
              <w:jc w:val="center"/>
              <w:rPr>
                <w:rFonts w:ascii="仿宋" w:hAnsi="仿宋" w:eastAsia="仿宋" w:cs="宋体"/>
                <w:color w:val="000000"/>
                <w:szCs w:val="21"/>
              </w:rPr>
            </w:pPr>
            <w:r>
              <w:rPr>
                <w:rFonts w:hint="eastAsia" w:ascii="仿宋" w:hAnsi="仿宋" w:eastAsia="仿宋"/>
                <w:color w:val="000000"/>
                <w:szCs w:val="21"/>
              </w:rPr>
              <w:t xml:space="preserve">3458397.00 </w:t>
            </w:r>
          </w:p>
        </w:tc>
        <w:tc>
          <w:tcPr>
            <w:tcW w:w="1733" w:type="dxa"/>
            <w:vAlign w:val="center"/>
          </w:tcPr>
          <w:p>
            <w:pPr>
              <w:jc w:val="center"/>
              <w:rPr>
                <w:rFonts w:ascii="仿宋" w:hAnsi="仿宋" w:eastAsia="仿宋" w:cs="仿宋"/>
                <w:szCs w:val="21"/>
              </w:rPr>
            </w:pPr>
            <w:r>
              <w:rPr>
                <w:rFonts w:hint="eastAsia" w:ascii="仿宋" w:hAnsi="仿宋" w:eastAsia="仿宋" w:cs="仿宋"/>
                <w:szCs w:val="21"/>
              </w:rPr>
              <w:t>第一中标候选人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54" w:hRule="atLeast"/>
          <w:jc w:val="center"/>
        </w:trPr>
        <w:tc>
          <w:tcPr>
            <w:tcW w:w="1266" w:type="dxa"/>
            <w:vMerge w:val="continue"/>
            <w:vAlign w:val="center"/>
          </w:tcPr>
          <w:p>
            <w:pPr>
              <w:jc w:val="center"/>
              <w:rPr>
                <w:rFonts w:ascii="仿宋" w:hAnsi="仿宋" w:eastAsia="仿宋" w:cs="仿宋"/>
                <w:szCs w:val="21"/>
              </w:rPr>
            </w:pPr>
          </w:p>
        </w:tc>
        <w:tc>
          <w:tcPr>
            <w:tcW w:w="3652" w:type="dxa"/>
            <w:vAlign w:val="center"/>
          </w:tcPr>
          <w:p>
            <w:pPr>
              <w:rPr>
                <w:rFonts w:ascii="仿宋" w:hAnsi="仿宋" w:eastAsia="仿宋" w:cs="宋体"/>
                <w:color w:val="000000"/>
                <w:szCs w:val="21"/>
              </w:rPr>
            </w:pPr>
            <w:r>
              <w:rPr>
                <w:rFonts w:hint="eastAsia" w:ascii="仿宋" w:hAnsi="仿宋" w:eastAsia="仿宋"/>
                <w:color w:val="000000"/>
                <w:szCs w:val="21"/>
              </w:rPr>
              <w:t>陕西西公院工程试验检测有限公司</w:t>
            </w:r>
          </w:p>
        </w:tc>
        <w:tc>
          <w:tcPr>
            <w:tcW w:w="1634" w:type="dxa"/>
            <w:vAlign w:val="center"/>
          </w:tcPr>
          <w:p>
            <w:pPr>
              <w:jc w:val="center"/>
              <w:rPr>
                <w:rFonts w:ascii="仿宋" w:hAnsi="仿宋" w:eastAsia="仿宋" w:cs="宋体"/>
                <w:color w:val="000000"/>
                <w:szCs w:val="21"/>
              </w:rPr>
            </w:pPr>
            <w:r>
              <w:rPr>
                <w:rFonts w:hint="eastAsia" w:ascii="仿宋" w:hAnsi="仿宋" w:eastAsia="仿宋"/>
                <w:color w:val="000000"/>
                <w:szCs w:val="21"/>
              </w:rPr>
              <w:t xml:space="preserve">3395262.00 </w:t>
            </w:r>
          </w:p>
        </w:tc>
        <w:tc>
          <w:tcPr>
            <w:tcW w:w="1733" w:type="dxa"/>
            <w:vAlign w:val="center"/>
          </w:tcPr>
          <w:p>
            <w:pPr>
              <w:jc w:val="center"/>
              <w:rPr>
                <w:rFonts w:ascii="仿宋" w:hAnsi="仿宋" w:eastAsia="仿宋" w:cs="仿宋"/>
                <w:color w:val="000000"/>
                <w:sz w:val="20"/>
              </w:rPr>
            </w:pPr>
            <w:r>
              <w:rPr>
                <w:rFonts w:hint="eastAsia" w:ascii="仿宋" w:hAnsi="仿宋" w:eastAsia="仿宋" w:cs="仿宋"/>
                <w:szCs w:val="21"/>
              </w:rPr>
              <w:t>第二中标候选人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266" w:type="dxa"/>
            <w:vMerge w:val="continue"/>
            <w:vAlign w:val="center"/>
          </w:tcPr>
          <w:p>
            <w:pPr>
              <w:jc w:val="center"/>
              <w:rPr>
                <w:rFonts w:ascii="仿宋" w:hAnsi="仿宋" w:eastAsia="仿宋" w:cs="仿宋"/>
                <w:szCs w:val="21"/>
              </w:rPr>
            </w:pPr>
          </w:p>
        </w:tc>
        <w:tc>
          <w:tcPr>
            <w:tcW w:w="3652" w:type="dxa"/>
            <w:vAlign w:val="center"/>
          </w:tcPr>
          <w:p>
            <w:pPr>
              <w:rPr>
                <w:rFonts w:ascii="仿宋" w:hAnsi="仿宋" w:eastAsia="仿宋" w:cs="宋体"/>
                <w:color w:val="000000"/>
                <w:szCs w:val="21"/>
              </w:rPr>
            </w:pPr>
            <w:r>
              <w:rPr>
                <w:rFonts w:hint="eastAsia" w:ascii="仿宋" w:hAnsi="仿宋" w:eastAsia="仿宋"/>
                <w:color w:val="000000"/>
                <w:szCs w:val="21"/>
              </w:rPr>
              <w:t>甘肃省公路工程试验检测中心有限公司</w:t>
            </w:r>
          </w:p>
        </w:tc>
        <w:tc>
          <w:tcPr>
            <w:tcW w:w="1634" w:type="dxa"/>
            <w:vAlign w:val="center"/>
          </w:tcPr>
          <w:p>
            <w:pPr>
              <w:jc w:val="center"/>
              <w:rPr>
                <w:rFonts w:ascii="仿宋" w:hAnsi="仿宋" w:eastAsia="仿宋" w:cs="宋体"/>
                <w:color w:val="000000"/>
                <w:szCs w:val="21"/>
              </w:rPr>
            </w:pPr>
            <w:r>
              <w:rPr>
                <w:rFonts w:hint="eastAsia" w:ascii="仿宋" w:hAnsi="仿宋" w:eastAsia="仿宋"/>
                <w:color w:val="000000"/>
                <w:szCs w:val="21"/>
              </w:rPr>
              <w:t xml:space="preserve">3470841.92 </w:t>
            </w:r>
          </w:p>
        </w:tc>
        <w:tc>
          <w:tcPr>
            <w:tcW w:w="1733" w:type="dxa"/>
            <w:vAlign w:val="center"/>
          </w:tcPr>
          <w:p>
            <w:pPr>
              <w:jc w:val="center"/>
              <w:rPr>
                <w:rFonts w:ascii="仿宋" w:hAnsi="仿宋" w:eastAsia="仿宋" w:cs="仿宋"/>
                <w:color w:val="000000"/>
                <w:sz w:val="20"/>
              </w:rPr>
            </w:pPr>
            <w:r>
              <w:rPr>
                <w:rFonts w:hint="eastAsia" w:ascii="仿宋" w:hAnsi="仿宋" w:eastAsia="仿宋" w:cs="仿宋"/>
                <w:szCs w:val="21"/>
              </w:rPr>
              <w:t>第三中标候选人</w:t>
            </w:r>
          </w:p>
        </w:tc>
      </w:tr>
    </w:tbl>
    <w:p>
      <w:pPr>
        <w:pStyle w:val="6"/>
        <w:widowControl/>
        <w:spacing w:line="405" w:lineRule="atLeast"/>
        <w:rPr>
          <w:rFonts w:ascii="仿宋" w:hAnsi="仿宋" w:eastAsia="仿宋" w:cs="仿宋"/>
          <w:b/>
          <w:bCs/>
          <w:spacing w:val="-6"/>
          <w:kern w:val="2"/>
          <w:sz w:val="21"/>
          <w:szCs w:val="21"/>
          <w:shd w:val="clear" w:color="auto" w:fill="FFFFFF"/>
        </w:rPr>
      </w:pPr>
    </w:p>
    <w:p>
      <w:pPr>
        <w:pStyle w:val="6"/>
        <w:widowControl/>
        <w:spacing w:line="405" w:lineRule="atLeast"/>
        <w:ind w:firstLine="420"/>
        <w:rPr>
          <w:rFonts w:ascii="仿宋" w:hAnsi="仿宋" w:eastAsia="仿宋" w:cs="仿宋"/>
          <w:spacing w:val="-6"/>
          <w:kern w:val="2"/>
          <w:sz w:val="21"/>
          <w:szCs w:val="21"/>
          <w:shd w:val="clear" w:color="auto" w:fill="FFFFFF"/>
        </w:rPr>
      </w:pPr>
      <w:r>
        <w:rPr>
          <w:rFonts w:hint="eastAsia" w:ascii="仿宋" w:hAnsi="仿宋" w:eastAsia="仿宋" w:cs="仿宋"/>
          <w:spacing w:val="-6"/>
          <w:kern w:val="2"/>
          <w:sz w:val="21"/>
          <w:szCs w:val="21"/>
          <w:shd w:val="clear" w:color="auto" w:fill="FFFFFF"/>
        </w:rPr>
        <w:t>以上评标结果接受社会监督，本次招标活动的投标人或有其他利害关系人对上述公示内容持有异议的，请于公示发布之日起3日内以书面形式向招标人提出。个人提出异议的，应当在提出异议材料上签署真实姓名，签字并附有效身份证明复印件。以单位名义提出异议的，应由法人代表签字并加盖本单位公章。提出异议的信函的日期以收到之日邮戳为准。异议提出人如在招标人答复后仍存异议，可按照交通运输部令2015年24号第六十三、六十四条有关规定，向陕西省交通运输厅提出投诉。陕西省交通运输厅将按照《中华人民共和国招标投标法实施条例》等有关制度认真处理。公示期满无异议，第一中标候选人将作为正式中标人。</w:t>
      </w:r>
    </w:p>
    <w:p>
      <w:pPr>
        <w:pStyle w:val="6"/>
        <w:widowControl/>
        <w:spacing w:line="405" w:lineRule="atLeast"/>
        <w:ind w:firstLine="420"/>
        <w:rPr>
          <w:rFonts w:ascii="仿宋" w:hAnsi="仿宋" w:eastAsia="仿宋" w:cs="仿宋"/>
          <w:sz w:val="24"/>
          <w:szCs w:val="24"/>
        </w:rPr>
      </w:pPr>
    </w:p>
    <w:p>
      <w:pPr>
        <w:pStyle w:val="6"/>
        <w:widowControl/>
        <w:spacing w:line="405" w:lineRule="atLeast"/>
        <w:ind w:firstLine="420"/>
        <w:rPr>
          <w:rFonts w:ascii="仿宋" w:hAnsi="仿宋" w:eastAsia="仿宋" w:cs="仿宋"/>
          <w:spacing w:val="-6"/>
          <w:kern w:val="2"/>
          <w:sz w:val="21"/>
          <w:szCs w:val="21"/>
          <w:shd w:val="clear" w:color="auto" w:fill="FFFFFF"/>
        </w:rPr>
      </w:pPr>
      <w:r>
        <w:rPr>
          <w:rFonts w:hint="eastAsia" w:ascii="仿宋" w:hAnsi="仿宋" w:eastAsia="仿宋" w:cs="仿宋"/>
          <w:spacing w:val="-6"/>
          <w:kern w:val="2"/>
          <w:sz w:val="21"/>
          <w:szCs w:val="21"/>
          <w:shd w:val="clear" w:color="auto" w:fill="FFFFFF"/>
        </w:rPr>
        <w:t>投诉电话：029-88869152</w:t>
      </w:r>
    </w:p>
    <w:p>
      <w:pPr>
        <w:pStyle w:val="6"/>
        <w:widowControl/>
        <w:spacing w:line="405" w:lineRule="atLeast"/>
        <w:ind w:firstLine="420"/>
        <w:rPr>
          <w:rFonts w:ascii="仿宋" w:hAnsi="仿宋" w:eastAsia="仿宋" w:cs="仿宋"/>
          <w:spacing w:val="-6"/>
          <w:kern w:val="2"/>
          <w:sz w:val="21"/>
          <w:szCs w:val="21"/>
          <w:shd w:val="clear" w:color="auto" w:fill="FFFFFF"/>
        </w:rPr>
      </w:pPr>
    </w:p>
    <w:p>
      <w:pPr>
        <w:pStyle w:val="6"/>
        <w:widowControl/>
        <w:spacing w:line="405" w:lineRule="atLeast"/>
        <w:ind w:firstLine="420"/>
        <w:rPr>
          <w:rFonts w:ascii="仿宋" w:hAnsi="仿宋" w:eastAsia="仿宋" w:cs="仿宋"/>
          <w:spacing w:val="-6"/>
          <w:kern w:val="2"/>
          <w:sz w:val="21"/>
          <w:szCs w:val="21"/>
          <w:shd w:val="clear" w:color="auto" w:fill="FFFFFF"/>
        </w:rPr>
      </w:pPr>
    </w:p>
    <w:p>
      <w:pPr>
        <w:pStyle w:val="6"/>
        <w:widowControl/>
        <w:spacing w:line="405" w:lineRule="atLeast"/>
        <w:ind w:firstLine="420"/>
        <w:rPr>
          <w:rFonts w:ascii="仿宋" w:hAnsi="仿宋" w:eastAsia="仿宋" w:cs="仿宋"/>
          <w:spacing w:val="-6"/>
          <w:kern w:val="2"/>
          <w:sz w:val="21"/>
          <w:szCs w:val="21"/>
          <w:shd w:val="clear" w:color="auto" w:fill="FFFFFF"/>
        </w:rPr>
      </w:pPr>
    </w:p>
    <w:p>
      <w:pPr>
        <w:pStyle w:val="6"/>
        <w:widowControl/>
        <w:spacing w:line="405" w:lineRule="atLeast"/>
        <w:ind w:firstLine="420"/>
        <w:rPr>
          <w:rFonts w:ascii="仿宋" w:hAnsi="仿宋" w:eastAsia="仿宋" w:cs="仿宋"/>
          <w:spacing w:val="-6"/>
          <w:kern w:val="2"/>
          <w:sz w:val="21"/>
          <w:szCs w:val="21"/>
          <w:shd w:val="clear" w:color="auto" w:fill="FFFFFF"/>
        </w:rPr>
      </w:pPr>
      <w:r>
        <w:rPr>
          <w:rFonts w:hint="eastAsia" w:ascii="仿宋" w:hAnsi="仿宋" w:eastAsia="仿宋" w:cs="仿宋"/>
          <w:spacing w:val="-6"/>
          <w:kern w:val="2"/>
          <w:sz w:val="21"/>
          <w:szCs w:val="21"/>
          <w:shd w:val="clear" w:color="auto" w:fill="FFFFFF"/>
        </w:rPr>
        <w:t>附件：</w:t>
      </w:r>
    </w:p>
    <w:p>
      <w:pPr>
        <w:pStyle w:val="6"/>
        <w:widowControl/>
        <w:spacing w:line="405" w:lineRule="atLeast"/>
        <w:ind w:firstLine="420"/>
        <w:rPr>
          <w:rFonts w:ascii="仿宋" w:hAnsi="仿宋" w:eastAsia="仿宋" w:cs="仿宋"/>
          <w:sz w:val="24"/>
          <w:szCs w:val="24"/>
        </w:rPr>
      </w:pPr>
      <w:r>
        <w:rPr>
          <w:rFonts w:hint="eastAsia" w:ascii="仿宋" w:hAnsi="仿宋" w:eastAsia="仿宋" w:cs="仿宋"/>
          <w:spacing w:val="-6"/>
          <w:kern w:val="2"/>
          <w:sz w:val="21"/>
          <w:szCs w:val="21"/>
          <w:shd w:val="clear" w:color="auto" w:fill="FFFFFF"/>
        </w:rPr>
        <w:t>1、中标候选人排序、名称、投标报价；</w:t>
      </w:r>
    </w:p>
    <w:p>
      <w:pPr>
        <w:pStyle w:val="6"/>
        <w:widowControl/>
        <w:spacing w:line="405" w:lineRule="atLeast"/>
        <w:ind w:firstLine="420"/>
        <w:rPr>
          <w:rFonts w:ascii="仿宋" w:hAnsi="仿宋" w:eastAsia="仿宋" w:cs="仿宋"/>
          <w:sz w:val="24"/>
          <w:szCs w:val="24"/>
        </w:rPr>
      </w:pPr>
      <w:r>
        <w:rPr>
          <w:rFonts w:hint="eastAsia" w:ascii="仿宋" w:hAnsi="仿宋" w:eastAsia="仿宋" w:cs="仿宋"/>
          <w:spacing w:val="-6"/>
          <w:kern w:val="2"/>
          <w:sz w:val="21"/>
          <w:szCs w:val="21"/>
          <w:shd w:val="clear" w:color="auto" w:fill="FFFFFF"/>
        </w:rPr>
        <w:t>2、中标候选人在投标文件中填报的项目业绩；</w:t>
      </w:r>
      <w:bookmarkStart w:id="0" w:name="_GoBack"/>
      <w:bookmarkEnd w:id="0"/>
    </w:p>
    <w:p>
      <w:pPr>
        <w:pStyle w:val="6"/>
        <w:widowControl/>
        <w:spacing w:line="405" w:lineRule="atLeast"/>
        <w:ind w:firstLine="420"/>
        <w:rPr>
          <w:rFonts w:ascii="仿宋" w:hAnsi="仿宋" w:eastAsia="仿宋" w:cs="仿宋"/>
          <w:sz w:val="24"/>
          <w:szCs w:val="24"/>
        </w:rPr>
      </w:pPr>
      <w:r>
        <w:rPr>
          <w:rFonts w:hint="eastAsia" w:ascii="仿宋" w:hAnsi="仿宋" w:eastAsia="仿宋" w:cs="仿宋"/>
          <w:spacing w:val="-6"/>
          <w:kern w:val="2"/>
          <w:sz w:val="21"/>
          <w:szCs w:val="21"/>
          <w:shd w:val="clear" w:color="auto" w:fill="FFFFFF"/>
        </w:rPr>
        <w:t>3、中标候选人在投标文件中承诺的主要人员姓名、个人业绩、相关证书编号；</w:t>
      </w:r>
    </w:p>
    <w:p>
      <w:pPr>
        <w:pStyle w:val="6"/>
        <w:widowControl/>
        <w:spacing w:line="405" w:lineRule="atLeast"/>
        <w:ind w:firstLine="420"/>
        <w:rPr>
          <w:rFonts w:ascii="仿宋" w:hAnsi="仿宋" w:eastAsia="仿宋" w:cs="仿宋"/>
          <w:spacing w:val="-6"/>
          <w:kern w:val="2"/>
          <w:sz w:val="21"/>
          <w:szCs w:val="21"/>
          <w:shd w:val="clear" w:color="auto" w:fill="FFFFFF"/>
        </w:rPr>
      </w:pPr>
      <w:r>
        <w:rPr>
          <w:rFonts w:hint="eastAsia" w:ascii="仿宋" w:hAnsi="仿宋" w:eastAsia="仿宋" w:cs="仿宋"/>
          <w:spacing w:val="-6"/>
          <w:kern w:val="2"/>
          <w:sz w:val="21"/>
          <w:szCs w:val="21"/>
          <w:shd w:val="clear" w:color="auto" w:fill="FFFFFF"/>
        </w:rPr>
        <w:t>4、被否决的投标人名称、否决依据和原因。</w:t>
      </w:r>
    </w:p>
    <w:p>
      <w:pPr>
        <w:pStyle w:val="6"/>
        <w:widowControl/>
        <w:spacing w:line="405" w:lineRule="atLeast"/>
        <w:ind w:firstLine="5346" w:firstLineChars="2700"/>
        <w:rPr>
          <w:rFonts w:ascii="仿宋" w:hAnsi="仿宋" w:eastAsia="仿宋" w:cs="仿宋"/>
          <w:spacing w:val="-6"/>
          <w:kern w:val="2"/>
          <w:sz w:val="21"/>
          <w:szCs w:val="21"/>
          <w:shd w:val="clear" w:color="auto" w:fill="FFFFFF"/>
        </w:rPr>
      </w:pPr>
    </w:p>
    <w:p>
      <w:pPr>
        <w:pStyle w:val="6"/>
        <w:widowControl/>
        <w:spacing w:line="405" w:lineRule="atLeast"/>
        <w:ind w:firstLine="5346" w:firstLineChars="2700"/>
        <w:rPr>
          <w:rFonts w:ascii="仿宋" w:hAnsi="仿宋" w:eastAsia="仿宋" w:cs="仿宋"/>
          <w:spacing w:val="-6"/>
          <w:kern w:val="2"/>
          <w:sz w:val="21"/>
          <w:szCs w:val="21"/>
          <w:shd w:val="clear" w:color="auto" w:fill="FFFFFF"/>
        </w:rPr>
      </w:pPr>
    </w:p>
    <w:p>
      <w:pPr>
        <w:pStyle w:val="6"/>
        <w:widowControl/>
        <w:spacing w:line="405" w:lineRule="atLeast"/>
        <w:ind w:firstLine="5346" w:firstLineChars="2700"/>
        <w:rPr>
          <w:rFonts w:ascii="仿宋" w:hAnsi="仿宋" w:eastAsia="仿宋" w:cs="仿宋"/>
          <w:sz w:val="24"/>
          <w:szCs w:val="24"/>
        </w:rPr>
      </w:pPr>
      <w:r>
        <w:rPr>
          <w:rFonts w:hint="eastAsia" w:ascii="仿宋" w:hAnsi="仿宋" w:eastAsia="仿宋" w:cs="仿宋"/>
          <w:spacing w:val="-6"/>
          <w:kern w:val="2"/>
          <w:sz w:val="21"/>
          <w:szCs w:val="21"/>
          <w:shd w:val="clear" w:color="auto" w:fill="FFFFFF"/>
        </w:rPr>
        <w:t>2019年7月</w:t>
      </w:r>
      <w:r>
        <w:rPr>
          <w:rFonts w:hint="eastAsia" w:ascii="仿宋" w:hAnsi="仿宋" w:eastAsia="仿宋" w:cs="仿宋"/>
          <w:spacing w:val="-6"/>
          <w:kern w:val="2"/>
          <w:sz w:val="21"/>
          <w:szCs w:val="21"/>
          <w:shd w:val="clear" w:color="auto" w:fill="FFFFFF"/>
          <w:lang w:val="en-US" w:eastAsia="zh-CN"/>
        </w:rPr>
        <w:t>22</w:t>
      </w:r>
      <w:r>
        <w:rPr>
          <w:rFonts w:hint="eastAsia" w:ascii="仿宋" w:hAnsi="仿宋" w:eastAsia="仿宋" w:cs="仿宋"/>
          <w:spacing w:val="-6"/>
          <w:kern w:val="2"/>
          <w:sz w:val="21"/>
          <w:szCs w:val="21"/>
          <w:shd w:val="clear" w:color="auto" w:fill="FFFFFF"/>
        </w:rPr>
        <w:t>日</w:t>
      </w:r>
    </w:p>
    <w:p>
      <w:pPr>
        <w:rPr>
          <w:rFonts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A1C23"/>
    <w:rsid w:val="00306E25"/>
    <w:rsid w:val="00362137"/>
    <w:rsid w:val="00377F9F"/>
    <w:rsid w:val="004D7698"/>
    <w:rsid w:val="00886179"/>
    <w:rsid w:val="00A0200B"/>
    <w:rsid w:val="00A37961"/>
    <w:rsid w:val="00AD1CE1"/>
    <w:rsid w:val="00CC26B7"/>
    <w:rsid w:val="00D55B76"/>
    <w:rsid w:val="00E3470C"/>
    <w:rsid w:val="00E52E1C"/>
    <w:rsid w:val="00EA1C23"/>
    <w:rsid w:val="024261A6"/>
    <w:rsid w:val="0385229D"/>
    <w:rsid w:val="16787877"/>
    <w:rsid w:val="1AAC0526"/>
    <w:rsid w:val="26CF184D"/>
    <w:rsid w:val="32FE6742"/>
    <w:rsid w:val="6D3C77A0"/>
    <w:rsid w:val="711170C3"/>
    <w:rsid w:val="759B0D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ascii="Arial" w:hAnsi="Arial" w:eastAsia="宋体" w:cs="Times New Roman"/>
      <w:b/>
      <w:kern w:val="0"/>
      <w:sz w:val="18"/>
      <w:szCs w:val="18"/>
    </w:rPr>
  </w:style>
  <w:style w:type="paragraph" w:styleId="3">
    <w:name w:val="heading 3"/>
    <w:basedOn w:val="1"/>
    <w:next w:val="1"/>
    <w:semiHidden/>
    <w:unhideWhenUsed/>
    <w:qFormat/>
    <w:uiPriority w:val="0"/>
    <w:pPr>
      <w:jc w:val="left"/>
      <w:outlineLvl w:val="2"/>
    </w:pPr>
    <w:rPr>
      <w:rFonts w:ascii="Arial" w:hAnsi="Arial" w:eastAsia="宋体" w:cs="Times New Roman"/>
      <w:b/>
      <w:kern w:val="0"/>
      <w:sz w:val="18"/>
      <w:szCs w:val="18"/>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line="300" w:lineRule="atLeast"/>
      <w:jc w:val="left"/>
    </w:pPr>
    <w:rPr>
      <w:rFonts w:ascii="Arial" w:hAnsi="Arial" w:cs="Times New Roman"/>
      <w:kern w:val="0"/>
      <w:sz w:val="18"/>
      <w:szCs w:val="18"/>
    </w:rPr>
  </w:style>
  <w:style w:type="character" w:styleId="9">
    <w:name w:val="FollowedHyperlink"/>
    <w:basedOn w:val="8"/>
    <w:qFormat/>
    <w:uiPriority w:val="0"/>
    <w:rPr>
      <w:color w:val="63595A"/>
      <w:u w:val="none"/>
    </w:rPr>
  </w:style>
  <w:style w:type="character" w:styleId="10">
    <w:name w:val="Emphasis"/>
    <w:basedOn w:val="8"/>
    <w:qFormat/>
    <w:uiPriority w:val="0"/>
  </w:style>
  <w:style w:type="character" w:styleId="11">
    <w:name w:val="Hyperlink"/>
    <w:basedOn w:val="8"/>
    <w:qFormat/>
    <w:uiPriority w:val="0"/>
    <w:rPr>
      <w:color w:val="63595A"/>
      <w:u w:val="none"/>
    </w:rPr>
  </w:style>
  <w:style w:type="character" w:customStyle="1" w:styleId="12">
    <w:name w:val="页眉 Char"/>
    <w:basedOn w:val="8"/>
    <w:link w:val="5"/>
    <w:qFormat/>
    <w:uiPriority w:val="0"/>
    <w:rPr>
      <w:rFonts w:asciiTheme="minorHAnsi" w:hAnsiTheme="minorHAnsi" w:eastAsiaTheme="minorEastAsia" w:cstheme="minorBidi"/>
      <w:kern w:val="2"/>
      <w:sz w:val="18"/>
      <w:szCs w:val="18"/>
    </w:rPr>
  </w:style>
  <w:style w:type="character" w:customStyle="1" w:styleId="13">
    <w:name w:val="页脚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103</Words>
  <Characters>593</Characters>
  <Lines>4</Lines>
  <Paragraphs>1</Paragraphs>
  <TotalTime>4</TotalTime>
  <ScaleCrop>false</ScaleCrop>
  <LinksUpToDate>false</LinksUpToDate>
  <CharactersWithSpaces>695</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2019-07-19T04:07:00Z</dcterms:created>
  <dc:creator>thinkpad</dc:creator>
  <cp:lastModifiedBy>蔡颖颖</cp:lastModifiedBy>
  <dcterms:modified xsi:type="dcterms:W3CDTF">2019-07-22T08:58:57Z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