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pacing w:line="500" w:lineRule="exact"/>
        <w:jc w:val="center"/>
        <w:rPr>
          <w:rFonts w:hint="eastAsia"/>
          <w:b/>
          <w:sz w:val="32"/>
          <w:szCs w:val="32"/>
        </w:rPr>
      </w:pPr>
      <w:r>
        <w:rPr>
          <w:rFonts w:hint="eastAsia"/>
          <w:b/>
          <w:sz w:val="32"/>
          <w:szCs w:val="32"/>
        </w:rPr>
        <w:t>陕西省鄠邑经周至至眉县高速公路PPP项目前期咨询服务</w:t>
      </w:r>
    </w:p>
    <w:p>
      <w:pPr>
        <w:spacing w:line="360" w:lineRule="auto"/>
        <w:jc w:val="center"/>
        <w:rPr>
          <w:rFonts w:ascii="宋体" w:hAnsi="宋体" w:cs="宋体"/>
          <w:b/>
          <w:sz w:val="30"/>
          <w:szCs w:val="30"/>
        </w:rPr>
      </w:pPr>
      <w:r>
        <w:rPr>
          <w:rFonts w:hint="eastAsia" w:ascii="宋体" w:cs="宋体"/>
          <w:b/>
          <w:sz w:val="30"/>
          <w:szCs w:val="30"/>
        </w:rPr>
        <w:t>招标</w:t>
      </w:r>
      <w:r>
        <w:rPr>
          <w:rFonts w:hint="eastAsia" w:ascii="宋体" w:hAnsi="宋体" w:cs="宋体"/>
          <w:b/>
          <w:sz w:val="30"/>
          <w:szCs w:val="30"/>
        </w:rPr>
        <w:t>文件关键内容公示</w:t>
      </w:r>
    </w:p>
    <w:p>
      <w:pPr>
        <w:pStyle w:val="17"/>
        <w:spacing w:line="500" w:lineRule="exact"/>
        <w:ind w:firstLine="0" w:firstLineChars="0"/>
        <w:rPr>
          <w:rFonts w:eastAsia="黑体"/>
          <w:b w:val="0"/>
          <w:bCs w:val="0"/>
          <w:sz w:val="24"/>
          <w:szCs w:val="24"/>
        </w:rPr>
      </w:pPr>
      <w:r>
        <w:rPr>
          <w:rFonts w:eastAsia="黑体"/>
          <w:b w:val="0"/>
          <w:bCs w:val="0"/>
          <w:sz w:val="24"/>
          <w:szCs w:val="24"/>
        </w:rPr>
        <w:t>1. 招标条件</w:t>
      </w:r>
    </w:p>
    <w:p>
      <w:pPr>
        <w:pStyle w:val="18"/>
        <w:spacing w:line="500" w:lineRule="exact"/>
        <w:ind w:firstLine="476" w:firstLineChars="200"/>
        <w:jc w:val="left"/>
        <w:rPr>
          <w:rFonts w:hint="eastAsia"/>
          <w:spacing w:val="-1"/>
          <w:sz w:val="24"/>
          <w:szCs w:val="24"/>
        </w:rPr>
      </w:pPr>
      <w:r>
        <w:rPr>
          <w:rFonts w:hint="eastAsia"/>
          <w:spacing w:val="-1"/>
          <w:sz w:val="24"/>
          <w:szCs w:val="24"/>
        </w:rPr>
        <w:t>陕西省鄠邑经周至至眉县高速公路（以下简称“本项目”）已由陕西省</w:t>
      </w:r>
      <w:r>
        <w:rPr>
          <w:rFonts w:hint="eastAsia"/>
          <w:spacing w:val="-1"/>
          <w:sz w:val="24"/>
          <w:szCs w:val="24"/>
          <w:lang w:eastAsia="zh-CN"/>
        </w:rPr>
        <w:t>发改委</w:t>
      </w:r>
      <w:r>
        <w:rPr>
          <w:rFonts w:hint="eastAsia"/>
          <w:sz w:val="24"/>
          <w:szCs w:val="24"/>
        </w:rPr>
        <w:t>批准建设，</w:t>
      </w:r>
      <w:r>
        <w:rPr>
          <w:sz w:val="24"/>
          <w:szCs w:val="24"/>
        </w:rPr>
        <w:t>建设资金来自</w:t>
      </w:r>
      <w:r>
        <w:rPr>
          <w:rFonts w:hint="eastAsia"/>
          <w:sz w:val="24"/>
          <w:szCs w:val="24"/>
        </w:rPr>
        <w:t>企业自筹，招标人为陕西省交通运输厅。</w:t>
      </w:r>
      <w:r>
        <w:rPr>
          <w:rFonts w:hint="eastAsia"/>
          <w:spacing w:val="-1"/>
          <w:sz w:val="24"/>
          <w:szCs w:val="24"/>
        </w:rPr>
        <w:t>项目已具备招标条件，现对该项目的PPP项目前期咨询服务进行公开招标。</w:t>
      </w:r>
    </w:p>
    <w:p>
      <w:pPr>
        <w:pStyle w:val="17"/>
        <w:spacing w:line="500" w:lineRule="exact"/>
        <w:ind w:firstLine="0" w:firstLineChars="0"/>
        <w:rPr>
          <w:rFonts w:hint="eastAsia" w:eastAsia="黑体"/>
          <w:b w:val="0"/>
          <w:bCs w:val="0"/>
          <w:sz w:val="24"/>
          <w:szCs w:val="24"/>
        </w:rPr>
      </w:pPr>
      <w:r>
        <w:rPr>
          <w:rFonts w:eastAsia="黑体"/>
          <w:b w:val="0"/>
          <w:bCs w:val="0"/>
          <w:sz w:val="24"/>
          <w:szCs w:val="24"/>
        </w:rPr>
        <w:t>2.</w:t>
      </w:r>
      <w:r>
        <w:rPr>
          <w:rFonts w:hint="eastAsia" w:eastAsia="黑体"/>
          <w:b w:val="0"/>
          <w:bCs w:val="0"/>
          <w:sz w:val="24"/>
          <w:szCs w:val="24"/>
        </w:rPr>
        <w:t xml:space="preserve"> </w:t>
      </w:r>
      <w:r>
        <w:rPr>
          <w:rFonts w:eastAsia="黑体"/>
          <w:b w:val="0"/>
          <w:bCs w:val="0"/>
          <w:sz w:val="24"/>
          <w:szCs w:val="24"/>
        </w:rPr>
        <w:t>项目概况与招标范围</w:t>
      </w:r>
    </w:p>
    <w:p>
      <w:pPr>
        <w:pStyle w:val="18"/>
        <w:spacing w:line="500" w:lineRule="exact"/>
        <w:jc w:val="left"/>
        <w:rPr>
          <w:rFonts w:hint="eastAsia"/>
          <w:sz w:val="24"/>
          <w:szCs w:val="24"/>
        </w:rPr>
      </w:pPr>
      <w:r>
        <w:rPr>
          <w:rFonts w:hint="eastAsia"/>
          <w:spacing w:val="-1"/>
          <w:sz w:val="24"/>
          <w:szCs w:val="24"/>
        </w:rPr>
        <w:t xml:space="preserve">    2.1项目概况：本项目是陕西省“2367”高速公路网规划西安大环线的重要组成路段，</w:t>
      </w:r>
      <w:r>
        <w:rPr>
          <w:rFonts w:hint="eastAsia"/>
          <w:sz w:val="24"/>
          <w:szCs w:val="24"/>
        </w:rPr>
        <w:t>路线起点位于鄠邑区天桥镇，设枢纽立交连接京昆高速，终点止于眉县霸王河工业园区东侧，设枢纽立交接拟建眉太高速。路线全长71公里，采用双向六车道高速公路标准，设计速度120公里/小时，投资估算约78亿元。</w:t>
      </w:r>
    </w:p>
    <w:p>
      <w:pPr>
        <w:tabs>
          <w:tab w:val="left" w:pos="1778"/>
        </w:tabs>
        <w:spacing w:line="400" w:lineRule="exact"/>
        <w:ind w:firstLine="480" w:firstLineChars="200"/>
        <w:rPr>
          <w:b/>
          <w:sz w:val="24"/>
        </w:rPr>
      </w:pPr>
      <w:r>
        <w:rPr>
          <w:rFonts w:hint="eastAsia" w:hAnsi="Century Gothic"/>
          <w:sz w:val="24"/>
        </w:rPr>
        <w:t>2.2</w:t>
      </w:r>
      <w:r>
        <w:rPr>
          <w:b/>
          <w:sz w:val="24"/>
        </w:rPr>
        <w:t>招标范围</w:t>
      </w:r>
    </w:p>
    <w:p>
      <w:pPr>
        <w:pStyle w:val="18"/>
        <w:spacing w:line="500" w:lineRule="exact"/>
        <w:ind w:firstLine="476" w:firstLineChars="200"/>
        <w:jc w:val="left"/>
        <w:rPr>
          <w:rFonts w:hint="eastAsia"/>
          <w:spacing w:val="-1"/>
          <w:sz w:val="24"/>
          <w:szCs w:val="24"/>
        </w:rPr>
      </w:pPr>
      <w:r>
        <w:rPr>
          <w:rFonts w:hint="eastAsia"/>
          <w:spacing w:val="-1"/>
          <w:sz w:val="24"/>
          <w:szCs w:val="24"/>
        </w:rPr>
        <w:t>本次招标的工作内容为陕西省鄠邑经周至至眉县高速公路PPP项目实施方案、物有所值评价报告、财政承受能力评估报告编制并配合完成上述三个报告的申报审批工作；编制社会投资人招标资格预审文件、招标文件、合同文件，并配合完成社会投资人招标工作。主要工作内容见下表。</w:t>
      </w:r>
    </w:p>
    <w:tbl>
      <w:tblPr>
        <w:tblStyle w:val="10"/>
        <w:tblW w:w="87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5427"/>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jc w:val="center"/>
        </w:trPr>
        <w:tc>
          <w:tcPr>
            <w:tcW w:w="1473" w:type="dxa"/>
            <w:vAlign w:val="center"/>
          </w:tcPr>
          <w:p>
            <w:pPr>
              <w:spacing w:line="560" w:lineRule="exact"/>
              <w:jc w:val="center"/>
              <w:rPr>
                <w:rFonts w:ascii="宋体"/>
                <w:szCs w:val="21"/>
              </w:rPr>
            </w:pPr>
            <w:r>
              <w:rPr>
                <w:rFonts w:hint="eastAsia" w:ascii="宋体" w:hAnsi="宋体"/>
                <w:szCs w:val="21"/>
              </w:rPr>
              <w:t>项目名称</w:t>
            </w:r>
          </w:p>
        </w:tc>
        <w:tc>
          <w:tcPr>
            <w:tcW w:w="5427" w:type="dxa"/>
            <w:vAlign w:val="center"/>
          </w:tcPr>
          <w:p>
            <w:pPr>
              <w:spacing w:line="560" w:lineRule="exact"/>
              <w:jc w:val="center"/>
              <w:rPr>
                <w:rFonts w:ascii="宋体"/>
                <w:szCs w:val="21"/>
              </w:rPr>
            </w:pPr>
            <w:r>
              <w:rPr>
                <w:rFonts w:hint="eastAsia" w:ascii="宋体" w:hAnsi="宋体"/>
                <w:szCs w:val="21"/>
              </w:rPr>
              <w:t>主要工作内容</w:t>
            </w:r>
          </w:p>
        </w:tc>
        <w:tc>
          <w:tcPr>
            <w:tcW w:w="1882" w:type="dxa"/>
            <w:vAlign w:val="center"/>
          </w:tcPr>
          <w:p>
            <w:pPr>
              <w:spacing w:line="560" w:lineRule="exact"/>
              <w:jc w:val="center"/>
              <w:rPr>
                <w:rFonts w:ascii="宋体"/>
                <w:szCs w:val="21"/>
              </w:rPr>
            </w:pPr>
            <w:r>
              <w:rPr>
                <w:rFonts w:hint="eastAsia" w:ascii="宋体" w:hAnsi="宋体"/>
                <w:szCs w:val="21"/>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1473" w:type="dxa"/>
            <w:vAlign w:val="center"/>
          </w:tcPr>
          <w:p>
            <w:pPr>
              <w:spacing w:line="560" w:lineRule="exact"/>
              <w:jc w:val="center"/>
              <w:rPr>
                <w:rFonts w:ascii="宋体"/>
                <w:szCs w:val="21"/>
              </w:rPr>
            </w:pPr>
            <w:r>
              <w:rPr>
                <w:rFonts w:hint="eastAsia"/>
                <w:sz w:val="24"/>
              </w:rPr>
              <w:t>陕西省鄠邑经周至至眉县高速公路PPP项目</w:t>
            </w:r>
          </w:p>
        </w:tc>
        <w:tc>
          <w:tcPr>
            <w:tcW w:w="5427" w:type="dxa"/>
            <w:vAlign w:val="center"/>
          </w:tcPr>
          <w:p>
            <w:pPr>
              <w:jc w:val="left"/>
              <w:rPr>
                <w:sz w:val="24"/>
              </w:rPr>
            </w:pPr>
            <w:r>
              <w:rPr>
                <w:sz w:val="24"/>
              </w:rPr>
              <w:t>1</w:t>
            </w:r>
            <w:r>
              <w:rPr>
                <w:rFonts w:hint="eastAsia"/>
                <w:sz w:val="24"/>
              </w:rPr>
              <w:t>、编制项目包的</w:t>
            </w:r>
            <w:r>
              <w:rPr>
                <w:sz w:val="24"/>
              </w:rPr>
              <w:t>PPP</w:t>
            </w:r>
            <w:r>
              <w:rPr>
                <w:rFonts w:hint="eastAsia"/>
                <w:sz w:val="24"/>
              </w:rPr>
              <w:t>项目实施方案、物有所值评价报告、财政承受能力评估报告并配合完成申报审批工作。</w:t>
            </w:r>
          </w:p>
          <w:p>
            <w:pPr>
              <w:jc w:val="left"/>
              <w:rPr>
                <w:rFonts w:hint="eastAsia"/>
                <w:sz w:val="24"/>
              </w:rPr>
            </w:pPr>
            <w:r>
              <w:rPr>
                <w:sz w:val="24"/>
              </w:rPr>
              <w:t>2</w:t>
            </w:r>
            <w:r>
              <w:rPr>
                <w:rFonts w:hint="eastAsia"/>
                <w:sz w:val="24"/>
              </w:rPr>
              <w:t>、编制《投资协议》、《PPP项目合同》、《PPP项目投资人招标资格预审文件》、《PPP项目社会投资人招标文件》等项目相关文件。</w:t>
            </w:r>
          </w:p>
          <w:p>
            <w:pPr>
              <w:jc w:val="left"/>
              <w:rPr>
                <w:rFonts w:hint="eastAsia"/>
                <w:sz w:val="24"/>
              </w:rPr>
            </w:pPr>
            <w:r>
              <w:rPr>
                <w:rFonts w:hint="eastAsia"/>
                <w:sz w:val="24"/>
              </w:rPr>
              <w:t>3、配合甲方完成财政及发改部门PPP项目库的申请、录入、更新等工作；配合甲方完成财政部及省级示范项目的申请、评审工作；配合甲方完成各类PPP项目前期工作奖补费用申报工作。</w:t>
            </w:r>
          </w:p>
          <w:p>
            <w:pPr>
              <w:jc w:val="left"/>
              <w:rPr>
                <w:rFonts w:hint="eastAsia"/>
                <w:sz w:val="24"/>
              </w:rPr>
            </w:pPr>
            <w:r>
              <w:rPr>
                <w:rFonts w:hint="eastAsia"/>
                <w:sz w:val="24"/>
              </w:rPr>
              <w:t>4、协助甲方对社会投资人进行招标，与社会投资人进行谈判，包括财务谈判和合同谈判，并根据谈判情况，进行相关合同文件的修改、完善。</w:t>
            </w:r>
          </w:p>
          <w:p>
            <w:pPr>
              <w:jc w:val="left"/>
              <w:rPr>
                <w:rFonts w:hint="eastAsia"/>
                <w:sz w:val="24"/>
              </w:rPr>
            </w:pPr>
          </w:p>
        </w:tc>
        <w:tc>
          <w:tcPr>
            <w:tcW w:w="1882" w:type="dxa"/>
            <w:vAlign w:val="center"/>
          </w:tcPr>
          <w:p>
            <w:pPr>
              <w:spacing w:line="560" w:lineRule="exact"/>
              <w:jc w:val="center"/>
              <w:rPr>
                <w:rFonts w:ascii="宋体"/>
                <w:szCs w:val="21"/>
              </w:rPr>
            </w:pPr>
            <w:r>
              <w:rPr>
                <w:rFonts w:hint="eastAsia"/>
                <w:sz w:val="24"/>
                <w:lang w:eastAsia="zh-CN"/>
              </w:rPr>
              <w:t>以完成</w:t>
            </w:r>
            <w:r>
              <w:rPr>
                <w:rFonts w:hint="eastAsia"/>
                <w:sz w:val="24"/>
                <w:lang w:val="en-US" w:eastAsia="zh-CN"/>
              </w:rPr>
              <w:t>PPP</w:t>
            </w:r>
            <w:r>
              <w:rPr>
                <w:rFonts w:hint="eastAsia"/>
                <w:sz w:val="24"/>
                <w:lang w:eastAsia="zh-CN"/>
              </w:rPr>
              <w:t>项目</w:t>
            </w:r>
            <w:r>
              <w:rPr>
                <w:rFonts w:hint="eastAsia"/>
                <w:sz w:val="24"/>
                <w:lang w:val="en-US" w:eastAsia="zh-CN"/>
              </w:rPr>
              <w:t>合同</w:t>
            </w:r>
            <w:r>
              <w:rPr>
                <w:rFonts w:hint="eastAsia"/>
                <w:sz w:val="24"/>
                <w:lang w:eastAsia="zh-CN"/>
              </w:rPr>
              <w:t>签订为止</w:t>
            </w:r>
          </w:p>
        </w:tc>
      </w:tr>
    </w:tbl>
    <w:p>
      <w:pPr>
        <w:spacing w:line="520" w:lineRule="exact"/>
        <w:ind w:firstLine="480" w:firstLineChars="200"/>
        <w:jc w:val="left"/>
        <w:rPr>
          <w:rFonts w:hint="eastAsia" w:hAnsi="Century Gothic"/>
          <w:sz w:val="24"/>
        </w:rPr>
      </w:pPr>
      <w:r>
        <w:rPr>
          <w:rFonts w:hint="eastAsia" w:hAnsi="Century Gothic"/>
          <w:sz w:val="24"/>
        </w:rPr>
        <w:t>3. 投标人资格要求</w:t>
      </w:r>
    </w:p>
    <w:p>
      <w:pPr>
        <w:pStyle w:val="18"/>
        <w:spacing w:line="500" w:lineRule="exact"/>
        <w:ind w:firstLine="480" w:firstLineChars="200"/>
        <w:jc w:val="left"/>
        <w:rPr>
          <w:rFonts w:hint="eastAsia"/>
          <w:sz w:val="24"/>
          <w:szCs w:val="24"/>
        </w:rPr>
      </w:pPr>
      <w:r>
        <w:rPr>
          <w:rFonts w:hint="eastAsia"/>
          <w:sz w:val="24"/>
          <w:szCs w:val="24"/>
        </w:rPr>
        <w:t>3.1投标人资格要求</w:t>
      </w:r>
    </w:p>
    <w:p>
      <w:pPr>
        <w:spacing w:line="560" w:lineRule="exact"/>
        <w:ind w:firstLine="480" w:firstLineChars="200"/>
        <w:jc w:val="left"/>
        <w:rPr>
          <w:rFonts w:hint="eastAsia"/>
          <w:sz w:val="24"/>
        </w:rPr>
      </w:pPr>
      <w:r>
        <w:rPr>
          <w:rFonts w:hint="eastAsia"/>
          <w:sz w:val="24"/>
        </w:rPr>
        <w:t>本次招标要求投标人具备：①需持有企业法人营业执照或事业单位法人证书（年审合格有效）；②项目负责人具备《注册咨询工程师执业资格证书》，近3年（2016年</w:t>
      </w:r>
      <w:r>
        <w:rPr>
          <w:rFonts w:hint="eastAsia"/>
          <w:sz w:val="24"/>
          <w:lang w:val="en-US" w:eastAsia="zh-CN"/>
        </w:rPr>
        <w:t>4月30日</w:t>
      </w:r>
      <w:r>
        <w:rPr>
          <w:rFonts w:hint="eastAsia"/>
          <w:sz w:val="24"/>
        </w:rPr>
        <w:t>至2019年</w:t>
      </w:r>
      <w:r>
        <w:rPr>
          <w:rFonts w:hint="eastAsia"/>
          <w:sz w:val="24"/>
          <w:lang w:val="en-US" w:eastAsia="zh-CN"/>
        </w:rPr>
        <w:t>4月30日</w:t>
      </w:r>
      <w:r>
        <w:rPr>
          <w:rFonts w:hint="eastAsia"/>
          <w:sz w:val="24"/>
        </w:rPr>
        <w:t>）担任过有1个PPP项目咨询服务负责人；③近3年（</w:t>
      </w:r>
      <w:r>
        <w:rPr>
          <w:rFonts w:hint="eastAsia"/>
          <w:sz w:val="24"/>
          <w:lang w:eastAsia="zh-CN"/>
        </w:rPr>
        <w:t>2016年4月30日至2019年4月30日</w:t>
      </w:r>
      <w:r>
        <w:rPr>
          <w:rFonts w:hint="eastAsia"/>
          <w:sz w:val="24"/>
        </w:rPr>
        <w:t>）独立完成过1个PPP项目咨询服务工作。</w:t>
      </w:r>
    </w:p>
    <w:p>
      <w:pPr>
        <w:spacing w:line="560" w:lineRule="exact"/>
        <w:ind w:firstLine="480" w:firstLineChars="200"/>
        <w:jc w:val="left"/>
        <w:rPr>
          <w:rFonts w:hint="eastAsia"/>
          <w:sz w:val="24"/>
        </w:rPr>
      </w:pPr>
      <w:r>
        <w:rPr>
          <w:rFonts w:hint="eastAsia"/>
          <w:sz w:val="24"/>
        </w:rPr>
        <w:t>3.2本次招标不接受联合体。</w:t>
      </w:r>
    </w:p>
    <w:p>
      <w:pPr>
        <w:pStyle w:val="18"/>
        <w:spacing w:line="500" w:lineRule="exact"/>
        <w:ind w:firstLine="472" w:firstLineChars="200"/>
        <w:rPr>
          <w:rFonts w:hint="eastAsia"/>
          <w:spacing w:val="-2"/>
          <w:sz w:val="24"/>
          <w:szCs w:val="24"/>
        </w:rPr>
      </w:pPr>
      <w:r>
        <w:rPr>
          <w:rFonts w:hint="eastAsia"/>
          <w:spacing w:val="-2"/>
          <w:sz w:val="24"/>
          <w:szCs w:val="24"/>
        </w:rPr>
        <w:t>3.3 与招标人存在利害关系可能影响招标公正性的单位，不得参加投标。单位负责人为同一人或存在控股、管理关系的不同单位，不得参加同一标段投标，否则，相关投标均无效。</w:t>
      </w:r>
    </w:p>
    <w:p>
      <w:pPr>
        <w:pStyle w:val="18"/>
        <w:spacing w:line="500" w:lineRule="exact"/>
        <w:ind w:firstLine="472" w:firstLineChars="200"/>
        <w:rPr>
          <w:rFonts w:hint="eastAsia"/>
          <w:spacing w:val="-2"/>
          <w:sz w:val="24"/>
          <w:szCs w:val="24"/>
        </w:rPr>
      </w:pPr>
      <w:r>
        <w:rPr>
          <w:rFonts w:hint="eastAsia"/>
          <w:spacing w:val="-2"/>
          <w:sz w:val="24"/>
          <w:szCs w:val="24"/>
        </w:rPr>
        <w:t>3.4 在“信用中国”网站（http://www.creditchina.gov.cn/）中被列入失信被执行人名单的投标人，不得参加投标。</w:t>
      </w:r>
    </w:p>
    <w:p>
      <w:pPr>
        <w:pStyle w:val="17"/>
        <w:spacing w:line="500" w:lineRule="exact"/>
        <w:ind w:firstLine="0" w:firstLineChars="0"/>
        <w:rPr>
          <w:rFonts w:eastAsia="黑体"/>
          <w:b w:val="0"/>
          <w:bCs w:val="0"/>
          <w:sz w:val="24"/>
          <w:szCs w:val="24"/>
        </w:rPr>
      </w:pPr>
      <w:r>
        <w:rPr>
          <w:rFonts w:hint="eastAsia" w:eastAsia="黑体"/>
          <w:b w:val="0"/>
          <w:bCs w:val="0"/>
          <w:sz w:val="24"/>
          <w:szCs w:val="24"/>
        </w:rPr>
        <w:t>4</w:t>
      </w:r>
      <w:r>
        <w:rPr>
          <w:rFonts w:eastAsia="黑体"/>
          <w:b w:val="0"/>
          <w:bCs w:val="0"/>
          <w:sz w:val="24"/>
          <w:szCs w:val="24"/>
        </w:rPr>
        <w:t xml:space="preserve">. </w:t>
      </w:r>
      <w:r>
        <w:rPr>
          <w:rFonts w:hint="eastAsia" w:eastAsia="黑体"/>
          <w:b w:val="0"/>
          <w:bCs w:val="0"/>
          <w:sz w:val="24"/>
          <w:szCs w:val="24"/>
        </w:rPr>
        <w:t>招标</w:t>
      </w:r>
      <w:r>
        <w:rPr>
          <w:rFonts w:eastAsia="黑体"/>
          <w:b w:val="0"/>
          <w:bCs w:val="0"/>
          <w:sz w:val="24"/>
          <w:szCs w:val="24"/>
        </w:rPr>
        <w:t>文件的获取</w:t>
      </w:r>
    </w:p>
    <w:p>
      <w:pPr>
        <w:spacing w:line="500" w:lineRule="exact"/>
        <w:ind w:firstLine="480" w:firstLineChars="200"/>
        <w:rPr>
          <w:rFonts w:hint="eastAsia"/>
          <w:spacing w:val="-2"/>
          <w:sz w:val="24"/>
        </w:rPr>
      </w:pPr>
      <w:r>
        <w:rPr>
          <w:rFonts w:hint="eastAsia"/>
          <w:sz w:val="24"/>
        </w:rPr>
        <w:t>4</w:t>
      </w:r>
      <w:r>
        <w:rPr>
          <w:sz w:val="24"/>
        </w:rPr>
        <w:t xml:space="preserve">.1 </w:t>
      </w:r>
      <w:r>
        <w:rPr>
          <w:spacing w:val="-2"/>
          <w:sz w:val="24"/>
        </w:rPr>
        <w:t>凡有意</w:t>
      </w:r>
      <w:r>
        <w:rPr>
          <w:rFonts w:hint="eastAsia"/>
          <w:spacing w:val="-2"/>
          <w:sz w:val="24"/>
        </w:rPr>
        <w:t>参加投标者，</w:t>
      </w:r>
      <w:r>
        <w:rPr>
          <w:spacing w:val="-2"/>
          <w:sz w:val="24"/>
        </w:rPr>
        <w:t>请于</w:t>
      </w:r>
      <w:r>
        <w:rPr>
          <w:rFonts w:hint="eastAsia"/>
          <w:spacing w:val="-2"/>
          <w:sz w:val="24"/>
        </w:rPr>
        <w:t>201</w:t>
      </w:r>
      <w:r>
        <w:rPr>
          <w:rFonts w:hint="eastAsia"/>
          <w:spacing w:val="-2"/>
          <w:sz w:val="24"/>
          <w:lang w:val="en-US" w:eastAsia="zh-CN"/>
        </w:rPr>
        <w:t>9</w:t>
      </w:r>
      <w:r>
        <w:rPr>
          <w:spacing w:val="-2"/>
          <w:sz w:val="24"/>
        </w:rPr>
        <w:t>年</w:t>
      </w:r>
      <w:r>
        <w:rPr>
          <w:rFonts w:hint="eastAsia"/>
          <w:spacing w:val="-2"/>
          <w:sz w:val="24"/>
          <w:lang w:val="en-US" w:eastAsia="zh-CN"/>
        </w:rPr>
        <w:t>5</w:t>
      </w:r>
      <w:r>
        <w:rPr>
          <w:spacing w:val="-2"/>
          <w:sz w:val="24"/>
        </w:rPr>
        <w:t>月</w:t>
      </w:r>
      <w:r>
        <w:rPr>
          <w:rFonts w:hint="eastAsia"/>
          <w:spacing w:val="-2"/>
          <w:sz w:val="24"/>
          <w:lang w:val="en-US" w:eastAsia="zh-CN"/>
        </w:rPr>
        <w:t>5</w:t>
      </w:r>
      <w:r>
        <w:rPr>
          <w:spacing w:val="-2"/>
          <w:sz w:val="24"/>
        </w:rPr>
        <w:t>日至</w:t>
      </w:r>
      <w:r>
        <w:rPr>
          <w:rFonts w:hint="eastAsia"/>
          <w:spacing w:val="-2"/>
          <w:sz w:val="24"/>
        </w:rPr>
        <w:t xml:space="preserve"> 201</w:t>
      </w:r>
      <w:r>
        <w:rPr>
          <w:rFonts w:hint="eastAsia"/>
          <w:spacing w:val="-2"/>
          <w:sz w:val="24"/>
          <w:lang w:val="en-US" w:eastAsia="zh-CN"/>
        </w:rPr>
        <w:t>9</w:t>
      </w:r>
      <w:r>
        <w:rPr>
          <w:spacing w:val="-2"/>
          <w:sz w:val="24"/>
        </w:rPr>
        <w:t>年</w:t>
      </w:r>
      <w:r>
        <w:rPr>
          <w:rFonts w:hint="eastAsia"/>
          <w:spacing w:val="-2"/>
          <w:sz w:val="24"/>
          <w:lang w:val="en-US" w:eastAsia="zh-CN"/>
        </w:rPr>
        <w:t>5</w:t>
      </w:r>
      <w:r>
        <w:rPr>
          <w:spacing w:val="-2"/>
          <w:sz w:val="24"/>
        </w:rPr>
        <w:t>月</w:t>
      </w:r>
      <w:r>
        <w:rPr>
          <w:rFonts w:hint="eastAsia"/>
          <w:spacing w:val="-2"/>
          <w:sz w:val="24"/>
          <w:lang w:val="en-US" w:eastAsia="zh-CN"/>
        </w:rPr>
        <w:t>9</w:t>
      </w:r>
      <w:r>
        <w:rPr>
          <w:spacing w:val="-2"/>
          <w:sz w:val="24"/>
        </w:rPr>
        <w:t>日，每日</w:t>
      </w:r>
      <w:r>
        <w:rPr>
          <w:rFonts w:hint="eastAsia"/>
          <w:spacing w:val="-2"/>
          <w:sz w:val="24"/>
        </w:rPr>
        <w:t>上午9</w:t>
      </w:r>
      <w:r>
        <w:rPr>
          <w:spacing w:val="-2"/>
          <w:sz w:val="24"/>
        </w:rPr>
        <w:t>时</w:t>
      </w:r>
      <w:r>
        <w:rPr>
          <w:rFonts w:hint="eastAsia"/>
          <w:spacing w:val="-2"/>
          <w:sz w:val="24"/>
        </w:rPr>
        <w:t>00分</w:t>
      </w:r>
      <w:r>
        <w:rPr>
          <w:spacing w:val="-2"/>
          <w:sz w:val="24"/>
        </w:rPr>
        <w:t>至</w:t>
      </w:r>
      <w:r>
        <w:rPr>
          <w:rFonts w:hint="eastAsia"/>
          <w:spacing w:val="-2"/>
          <w:sz w:val="24"/>
          <w:lang w:val="en-US" w:eastAsia="zh-CN"/>
        </w:rPr>
        <w:t>11</w:t>
      </w:r>
      <w:r>
        <w:rPr>
          <w:spacing w:val="-2"/>
          <w:sz w:val="24"/>
        </w:rPr>
        <w:t>时</w:t>
      </w:r>
      <w:r>
        <w:rPr>
          <w:rFonts w:hint="eastAsia"/>
          <w:spacing w:val="-2"/>
          <w:sz w:val="24"/>
        </w:rPr>
        <w:t>00分</w:t>
      </w:r>
      <w:r>
        <w:rPr>
          <w:spacing w:val="-2"/>
          <w:sz w:val="24"/>
        </w:rPr>
        <w:t>，</w:t>
      </w:r>
      <w:r>
        <w:rPr>
          <w:rFonts w:hint="eastAsia"/>
          <w:spacing w:val="-2"/>
          <w:sz w:val="24"/>
        </w:rPr>
        <w:t>下午15</w:t>
      </w:r>
      <w:r>
        <w:rPr>
          <w:spacing w:val="-2"/>
          <w:sz w:val="24"/>
        </w:rPr>
        <w:t>时</w:t>
      </w:r>
      <w:r>
        <w:rPr>
          <w:rFonts w:hint="eastAsia"/>
          <w:spacing w:val="-2"/>
          <w:sz w:val="24"/>
        </w:rPr>
        <w:t>00分</w:t>
      </w:r>
      <w:r>
        <w:rPr>
          <w:spacing w:val="-2"/>
          <w:sz w:val="24"/>
        </w:rPr>
        <w:t>至</w:t>
      </w:r>
      <w:r>
        <w:rPr>
          <w:rFonts w:hint="eastAsia"/>
          <w:spacing w:val="-2"/>
          <w:sz w:val="24"/>
        </w:rPr>
        <w:t>17</w:t>
      </w:r>
      <w:r>
        <w:rPr>
          <w:spacing w:val="-2"/>
          <w:sz w:val="24"/>
        </w:rPr>
        <w:t>时</w:t>
      </w:r>
      <w:r>
        <w:rPr>
          <w:rFonts w:hint="eastAsia"/>
          <w:spacing w:val="-2"/>
          <w:sz w:val="24"/>
        </w:rPr>
        <w:t>00分</w:t>
      </w:r>
      <w:r>
        <w:rPr>
          <w:sz w:val="24"/>
        </w:rPr>
        <w:t>（北京时间，下同）</w:t>
      </w:r>
      <w:r>
        <w:rPr>
          <w:spacing w:val="-2"/>
          <w:sz w:val="24"/>
        </w:rPr>
        <w:t>，</w:t>
      </w:r>
      <w:r>
        <w:rPr>
          <w:rFonts w:hint="eastAsia"/>
          <w:spacing w:val="-2"/>
          <w:sz w:val="24"/>
        </w:rPr>
        <w:t>在</w:t>
      </w:r>
      <w:r>
        <w:rPr>
          <w:rFonts w:hint="eastAsia" w:ascii="宋体" w:hAnsi="宋体"/>
          <w:sz w:val="24"/>
        </w:rPr>
        <w:t>陕西省交通运输厅1211办公室（地址：陕西省西安市唐延路6号陕西省交通运输厅办公楼12层）</w:t>
      </w:r>
      <w:r>
        <w:rPr>
          <w:spacing w:val="-2"/>
          <w:sz w:val="24"/>
        </w:rPr>
        <w:t>持单位介绍信</w:t>
      </w:r>
      <w:r>
        <w:rPr>
          <w:rFonts w:hint="eastAsia"/>
          <w:spacing w:val="-2"/>
          <w:sz w:val="24"/>
        </w:rPr>
        <w:t>和经办人身份证购买招标</w:t>
      </w:r>
      <w:r>
        <w:rPr>
          <w:spacing w:val="-2"/>
          <w:sz w:val="24"/>
        </w:rPr>
        <w:t>文件。</w:t>
      </w:r>
    </w:p>
    <w:p>
      <w:pPr>
        <w:pStyle w:val="18"/>
        <w:spacing w:line="500" w:lineRule="exact"/>
        <w:ind w:firstLine="480" w:firstLineChars="200"/>
        <w:rPr>
          <w:sz w:val="24"/>
          <w:szCs w:val="24"/>
        </w:rPr>
      </w:pPr>
      <w:r>
        <w:rPr>
          <w:rFonts w:hint="eastAsia"/>
          <w:sz w:val="24"/>
          <w:szCs w:val="24"/>
        </w:rPr>
        <w:t>4</w:t>
      </w:r>
      <w:r>
        <w:rPr>
          <w:sz w:val="24"/>
          <w:szCs w:val="24"/>
        </w:rPr>
        <w:t xml:space="preserve">.2 </w:t>
      </w:r>
      <w:r>
        <w:rPr>
          <w:rFonts w:hint="eastAsia"/>
          <w:sz w:val="24"/>
          <w:szCs w:val="24"/>
        </w:rPr>
        <w:t>招标</w:t>
      </w:r>
      <w:r>
        <w:rPr>
          <w:sz w:val="24"/>
          <w:szCs w:val="24"/>
        </w:rPr>
        <w:t>文件每套售价</w:t>
      </w:r>
      <w:r>
        <w:rPr>
          <w:rFonts w:hint="eastAsia"/>
          <w:sz w:val="24"/>
          <w:szCs w:val="24"/>
        </w:rPr>
        <w:t>1000</w:t>
      </w:r>
      <w:r>
        <w:rPr>
          <w:sz w:val="24"/>
          <w:szCs w:val="24"/>
        </w:rPr>
        <w:t>元，售后不退。</w:t>
      </w:r>
    </w:p>
    <w:p>
      <w:pPr>
        <w:pStyle w:val="17"/>
        <w:spacing w:line="500" w:lineRule="exact"/>
        <w:ind w:firstLine="0" w:firstLineChars="0"/>
        <w:rPr>
          <w:rFonts w:hint="eastAsia" w:eastAsia="黑体"/>
          <w:b w:val="0"/>
          <w:bCs w:val="0"/>
          <w:sz w:val="24"/>
          <w:szCs w:val="24"/>
        </w:rPr>
      </w:pPr>
      <w:r>
        <w:rPr>
          <w:rFonts w:hint="eastAsia" w:eastAsia="黑体"/>
          <w:b w:val="0"/>
          <w:bCs w:val="0"/>
          <w:sz w:val="24"/>
          <w:szCs w:val="24"/>
        </w:rPr>
        <w:t>5</w:t>
      </w:r>
      <w:r>
        <w:rPr>
          <w:rFonts w:eastAsia="黑体"/>
          <w:b w:val="0"/>
          <w:bCs w:val="0"/>
          <w:sz w:val="24"/>
          <w:szCs w:val="24"/>
        </w:rPr>
        <w:t xml:space="preserve">. </w:t>
      </w:r>
      <w:r>
        <w:rPr>
          <w:rFonts w:hint="eastAsia" w:eastAsia="黑体"/>
          <w:b w:val="0"/>
          <w:bCs w:val="0"/>
          <w:sz w:val="24"/>
          <w:szCs w:val="24"/>
        </w:rPr>
        <w:t>投标</w:t>
      </w:r>
      <w:r>
        <w:rPr>
          <w:rFonts w:eastAsia="黑体"/>
          <w:b w:val="0"/>
          <w:bCs w:val="0"/>
          <w:sz w:val="24"/>
          <w:szCs w:val="24"/>
        </w:rPr>
        <w:t>文件的递交</w:t>
      </w:r>
      <w:r>
        <w:rPr>
          <w:rFonts w:hint="eastAsia" w:eastAsia="黑体"/>
          <w:b w:val="0"/>
          <w:bCs w:val="0"/>
          <w:sz w:val="24"/>
          <w:szCs w:val="24"/>
        </w:rPr>
        <w:t>及相关事宜</w:t>
      </w:r>
    </w:p>
    <w:p>
      <w:pPr>
        <w:pStyle w:val="18"/>
        <w:spacing w:line="500" w:lineRule="exact"/>
        <w:ind w:firstLine="480" w:firstLineChars="200"/>
        <w:rPr>
          <w:rFonts w:hint="eastAsia"/>
          <w:sz w:val="24"/>
          <w:szCs w:val="24"/>
        </w:rPr>
      </w:pPr>
      <w:r>
        <w:rPr>
          <w:rFonts w:hint="eastAsia"/>
          <w:sz w:val="24"/>
          <w:szCs w:val="24"/>
        </w:rPr>
        <w:t>5.1 本项目招标人不组织工程现场踏勘，各投标人可自行踏勘现场；不召开投标预备会。</w:t>
      </w:r>
    </w:p>
    <w:p>
      <w:pPr>
        <w:pStyle w:val="18"/>
        <w:spacing w:line="500" w:lineRule="exact"/>
        <w:ind w:firstLine="480" w:firstLineChars="200"/>
        <w:rPr>
          <w:sz w:val="24"/>
          <w:szCs w:val="24"/>
        </w:rPr>
      </w:pPr>
      <w:r>
        <w:rPr>
          <w:rFonts w:hint="eastAsia"/>
          <w:sz w:val="24"/>
          <w:szCs w:val="24"/>
        </w:rPr>
        <w:t>5</w:t>
      </w:r>
      <w:r>
        <w:rPr>
          <w:sz w:val="24"/>
          <w:szCs w:val="24"/>
        </w:rPr>
        <w:t>.</w:t>
      </w:r>
      <w:r>
        <w:rPr>
          <w:rFonts w:hint="eastAsia"/>
          <w:sz w:val="24"/>
          <w:szCs w:val="24"/>
        </w:rPr>
        <w:t>2 投标</w:t>
      </w:r>
      <w:r>
        <w:rPr>
          <w:sz w:val="24"/>
          <w:szCs w:val="24"/>
        </w:rPr>
        <w:t>文件递交</w:t>
      </w:r>
      <w:r>
        <w:rPr>
          <w:rFonts w:hint="eastAsia"/>
          <w:sz w:val="24"/>
          <w:szCs w:val="24"/>
        </w:rPr>
        <w:t>的</w:t>
      </w:r>
      <w:r>
        <w:rPr>
          <w:sz w:val="24"/>
          <w:szCs w:val="24"/>
        </w:rPr>
        <w:t>截止时间</w:t>
      </w:r>
      <w:r>
        <w:rPr>
          <w:rFonts w:hint="eastAsia"/>
          <w:sz w:val="24"/>
          <w:szCs w:val="24"/>
        </w:rPr>
        <w:t>（投标截止时间，下同）</w:t>
      </w:r>
      <w:r>
        <w:rPr>
          <w:sz w:val="24"/>
          <w:szCs w:val="24"/>
        </w:rPr>
        <w:t>为</w:t>
      </w:r>
      <w:r>
        <w:rPr>
          <w:rFonts w:hint="eastAsia"/>
          <w:spacing w:val="-2"/>
          <w:sz w:val="24"/>
          <w:u w:val="single"/>
        </w:rPr>
        <w:t>201</w:t>
      </w:r>
      <w:r>
        <w:rPr>
          <w:rFonts w:hint="eastAsia"/>
          <w:spacing w:val="-2"/>
          <w:sz w:val="24"/>
          <w:u w:val="single"/>
          <w:lang w:val="en-US" w:eastAsia="zh-CN"/>
        </w:rPr>
        <w:t>9</w:t>
      </w:r>
      <w:r>
        <w:rPr>
          <w:spacing w:val="-2"/>
          <w:sz w:val="24"/>
        </w:rPr>
        <w:t>年</w:t>
      </w:r>
      <w:r>
        <w:rPr>
          <w:rFonts w:hint="eastAsia"/>
          <w:spacing w:val="-2"/>
          <w:sz w:val="24"/>
          <w:u w:val="single"/>
          <w:lang w:val="en-US" w:eastAsia="zh-CN"/>
        </w:rPr>
        <w:t>5</w:t>
      </w:r>
      <w:r>
        <w:rPr>
          <w:spacing w:val="-2"/>
          <w:sz w:val="24"/>
        </w:rPr>
        <w:t>月</w:t>
      </w:r>
      <w:r>
        <w:rPr>
          <w:rFonts w:hint="eastAsia"/>
          <w:spacing w:val="-2"/>
          <w:sz w:val="24"/>
          <w:u w:val="single"/>
          <w:lang w:val="en-US" w:eastAsia="zh-CN"/>
        </w:rPr>
        <w:t>27</w:t>
      </w:r>
      <w:r>
        <w:rPr>
          <w:spacing w:val="-2"/>
          <w:sz w:val="24"/>
        </w:rPr>
        <w:t>日</w:t>
      </w:r>
      <w:r>
        <w:rPr>
          <w:rFonts w:hint="eastAsia"/>
          <w:spacing w:val="-2"/>
          <w:sz w:val="24"/>
          <w:u w:val="single"/>
        </w:rPr>
        <w:t>10</w:t>
      </w:r>
      <w:r>
        <w:rPr>
          <w:spacing w:val="-2"/>
          <w:sz w:val="24"/>
        </w:rPr>
        <w:t>时</w:t>
      </w:r>
      <w:r>
        <w:rPr>
          <w:rFonts w:hint="eastAsia"/>
          <w:spacing w:val="-2"/>
          <w:sz w:val="24"/>
          <w:u w:val="single"/>
        </w:rPr>
        <w:t>00</w:t>
      </w:r>
      <w:r>
        <w:rPr>
          <w:rFonts w:hint="eastAsia"/>
          <w:spacing w:val="-2"/>
          <w:sz w:val="24"/>
        </w:rPr>
        <w:t>分</w:t>
      </w:r>
      <w:r>
        <w:rPr>
          <w:sz w:val="24"/>
          <w:szCs w:val="24"/>
        </w:rPr>
        <w:t>，</w:t>
      </w:r>
      <w:r>
        <w:rPr>
          <w:rFonts w:hint="eastAsia"/>
          <w:sz w:val="24"/>
          <w:szCs w:val="24"/>
        </w:rPr>
        <w:t>投标</w:t>
      </w:r>
      <w:r>
        <w:rPr>
          <w:sz w:val="24"/>
          <w:szCs w:val="24"/>
        </w:rPr>
        <w:t>人应于当日</w:t>
      </w:r>
      <w:r>
        <w:rPr>
          <w:rFonts w:hint="eastAsia"/>
          <w:sz w:val="24"/>
          <w:szCs w:val="24"/>
          <w:u w:val="single"/>
        </w:rPr>
        <w:t>9</w:t>
      </w:r>
      <w:r>
        <w:rPr>
          <w:sz w:val="24"/>
          <w:szCs w:val="24"/>
        </w:rPr>
        <w:t>时</w:t>
      </w:r>
      <w:r>
        <w:rPr>
          <w:rFonts w:hint="eastAsia"/>
          <w:sz w:val="24"/>
          <w:szCs w:val="24"/>
          <w:u w:val="single"/>
        </w:rPr>
        <w:t>00</w:t>
      </w:r>
      <w:r>
        <w:rPr>
          <w:sz w:val="24"/>
          <w:szCs w:val="24"/>
        </w:rPr>
        <w:t>分至</w:t>
      </w:r>
      <w:r>
        <w:rPr>
          <w:rFonts w:hint="eastAsia"/>
          <w:sz w:val="24"/>
          <w:szCs w:val="24"/>
          <w:u w:val="single"/>
        </w:rPr>
        <w:t>10</w:t>
      </w:r>
      <w:r>
        <w:rPr>
          <w:sz w:val="24"/>
          <w:szCs w:val="24"/>
        </w:rPr>
        <w:t>时</w:t>
      </w:r>
      <w:r>
        <w:rPr>
          <w:rFonts w:hint="eastAsia"/>
          <w:sz w:val="24"/>
          <w:szCs w:val="24"/>
          <w:u w:val="single"/>
        </w:rPr>
        <w:t>00</w:t>
      </w:r>
      <w:r>
        <w:rPr>
          <w:sz w:val="24"/>
          <w:szCs w:val="24"/>
        </w:rPr>
        <w:t>分将</w:t>
      </w:r>
      <w:r>
        <w:rPr>
          <w:rFonts w:hint="eastAsia"/>
          <w:sz w:val="24"/>
          <w:szCs w:val="24"/>
        </w:rPr>
        <w:t>投标</w:t>
      </w:r>
      <w:r>
        <w:rPr>
          <w:sz w:val="24"/>
          <w:szCs w:val="24"/>
        </w:rPr>
        <w:t>文件递交</w:t>
      </w:r>
      <w:r>
        <w:rPr>
          <w:rFonts w:hint="eastAsia"/>
          <w:sz w:val="24"/>
          <w:szCs w:val="24"/>
        </w:rPr>
        <w:t>至</w:t>
      </w:r>
      <w:r>
        <w:rPr>
          <w:rFonts w:hint="eastAsia" w:ascii="宋体" w:cs="宋体"/>
          <w:color w:val="auto"/>
          <w:sz w:val="24"/>
          <w:szCs w:val="24"/>
          <w:highlight w:val="none"/>
          <w:u w:val="single"/>
          <w:lang w:bidi="ar-SA"/>
        </w:rPr>
        <w:t>西安市海升酒店会议室（地址：陕西省西安市高新区沣惠南路34号）</w:t>
      </w:r>
      <w:r>
        <w:rPr>
          <w:rFonts w:hint="eastAsia" w:ascii="宋体" w:cs="宋体"/>
          <w:color w:val="auto"/>
          <w:sz w:val="24"/>
          <w:szCs w:val="24"/>
          <w:highlight w:val="none"/>
          <w:lang w:bidi="ar-SA"/>
        </w:rPr>
        <w:t>。</w:t>
      </w:r>
    </w:p>
    <w:p>
      <w:pPr>
        <w:pStyle w:val="19"/>
        <w:widowControl/>
        <w:spacing w:line="500" w:lineRule="exact"/>
        <w:ind w:firstLine="480" w:firstLineChars="200"/>
        <w:rPr>
          <w:sz w:val="24"/>
        </w:rPr>
      </w:pPr>
      <w:r>
        <w:rPr>
          <w:rFonts w:hint="eastAsia"/>
          <w:sz w:val="24"/>
        </w:rPr>
        <w:t>5</w:t>
      </w:r>
      <w:r>
        <w:rPr>
          <w:sz w:val="24"/>
        </w:rPr>
        <w:t>.</w:t>
      </w:r>
      <w:r>
        <w:rPr>
          <w:rFonts w:hint="eastAsia"/>
          <w:sz w:val="24"/>
        </w:rPr>
        <w:t>3</w:t>
      </w:r>
      <w:r>
        <w:rPr>
          <w:sz w:val="24"/>
        </w:rPr>
        <w:t xml:space="preserve"> 逾期送达</w:t>
      </w:r>
      <w:r>
        <w:rPr>
          <w:rFonts w:hint="eastAsia"/>
          <w:sz w:val="24"/>
        </w:rPr>
        <w:t>的、未送达</w:t>
      </w:r>
      <w:r>
        <w:rPr>
          <w:sz w:val="24"/>
        </w:rPr>
        <w:t>指定地点的</w:t>
      </w:r>
      <w:r>
        <w:rPr>
          <w:rFonts w:hint="eastAsia"/>
          <w:sz w:val="24"/>
        </w:rPr>
        <w:t>或不按照招标文件要求密封的投标</w:t>
      </w:r>
      <w:r>
        <w:rPr>
          <w:sz w:val="24"/>
        </w:rPr>
        <w:t>文件，招标人</w:t>
      </w:r>
      <w:r>
        <w:rPr>
          <w:rFonts w:hint="eastAsia"/>
          <w:sz w:val="24"/>
        </w:rPr>
        <w:t>将予以拒收</w:t>
      </w:r>
      <w:r>
        <w:rPr>
          <w:sz w:val="24"/>
        </w:rPr>
        <w:t>。</w:t>
      </w:r>
    </w:p>
    <w:p>
      <w:pPr>
        <w:pStyle w:val="17"/>
        <w:spacing w:line="500" w:lineRule="exact"/>
        <w:ind w:firstLine="0" w:firstLineChars="0"/>
        <w:rPr>
          <w:rFonts w:eastAsia="黑体"/>
          <w:b w:val="0"/>
          <w:bCs w:val="0"/>
          <w:sz w:val="24"/>
          <w:szCs w:val="24"/>
        </w:rPr>
      </w:pPr>
      <w:r>
        <w:rPr>
          <w:rFonts w:hint="eastAsia" w:eastAsia="黑体"/>
          <w:b w:val="0"/>
          <w:bCs w:val="0"/>
          <w:sz w:val="24"/>
          <w:szCs w:val="24"/>
        </w:rPr>
        <w:t>6</w:t>
      </w:r>
      <w:r>
        <w:rPr>
          <w:rFonts w:eastAsia="黑体"/>
          <w:b w:val="0"/>
          <w:bCs w:val="0"/>
          <w:sz w:val="24"/>
          <w:szCs w:val="24"/>
        </w:rPr>
        <w:t>. 发布公告的媒介</w:t>
      </w:r>
    </w:p>
    <w:p>
      <w:pPr>
        <w:pStyle w:val="18"/>
        <w:spacing w:line="500" w:lineRule="exact"/>
        <w:ind w:firstLine="472" w:firstLineChars="200"/>
        <w:jc w:val="left"/>
        <w:rPr>
          <w:rFonts w:hint="eastAsia"/>
          <w:spacing w:val="-2"/>
          <w:sz w:val="24"/>
          <w:szCs w:val="24"/>
        </w:rPr>
      </w:pPr>
      <w:r>
        <w:rPr>
          <w:rFonts w:hint="eastAsia"/>
          <w:spacing w:val="-2"/>
          <w:sz w:val="24"/>
          <w:szCs w:val="24"/>
        </w:rPr>
        <w:t>本次招标公告在《中国招标投标公共服务平台》（www.cebpubservice.com）</w:t>
      </w:r>
      <w:r>
        <w:rPr>
          <w:rFonts w:hint="eastAsia"/>
          <w:spacing w:val="-2"/>
          <w:sz w:val="24"/>
          <w:szCs w:val="24"/>
          <w:lang w:eastAsia="zh-CN"/>
        </w:rPr>
        <w:t>、陕西省交通运输厅网站</w:t>
      </w:r>
      <w:r>
        <w:rPr>
          <w:rFonts w:hint="eastAsia"/>
          <w:spacing w:val="-2"/>
          <w:sz w:val="24"/>
          <w:szCs w:val="24"/>
        </w:rPr>
        <w:t>上发布。</w:t>
      </w:r>
    </w:p>
    <w:p>
      <w:pPr>
        <w:pStyle w:val="20"/>
        <w:spacing w:line="500" w:lineRule="exact"/>
        <w:jc w:val="left"/>
        <w:rPr>
          <w:rFonts w:hint="eastAsia" w:eastAsia="黑体"/>
          <w:sz w:val="24"/>
          <w:szCs w:val="24"/>
        </w:rPr>
      </w:pPr>
      <w:r>
        <w:rPr>
          <w:rFonts w:hint="eastAsia" w:eastAsia="黑体"/>
          <w:sz w:val="24"/>
          <w:szCs w:val="24"/>
        </w:rPr>
        <w:t>7</w:t>
      </w:r>
      <w:r>
        <w:rPr>
          <w:rFonts w:eastAsia="黑体"/>
          <w:sz w:val="24"/>
          <w:szCs w:val="24"/>
        </w:rPr>
        <w:t>. 联系方式</w:t>
      </w:r>
    </w:p>
    <w:p>
      <w:pPr>
        <w:pStyle w:val="20"/>
        <w:tabs>
          <w:tab w:val="left" w:pos="5580"/>
        </w:tabs>
        <w:spacing w:line="500" w:lineRule="exact"/>
        <w:ind w:firstLine="0" w:firstLineChars="0"/>
        <w:rPr>
          <w:rFonts w:hint="eastAsia" w:ascii="宋体" w:hAnsi="宋体"/>
          <w:sz w:val="24"/>
        </w:rPr>
      </w:pPr>
      <w:r>
        <w:rPr>
          <w:rFonts w:hint="eastAsia" w:ascii="宋体" w:hAnsi="宋体"/>
          <w:sz w:val="24"/>
          <w:lang w:val="en-US" w:eastAsia="zh-CN"/>
        </w:rPr>
        <w:t xml:space="preserve">    </w:t>
      </w:r>
      <w:r>
        <w:rPr>
          <w:rFonts w:hint="eastAsia" w:ascii="宋体" w:hAnsi="宋体"/>
          <w:sz w:val="24"/>
        </w:rPr>
        <w:t>招 标 人：陕西省交通运输厅</w:t>
      </w:r>
    </w:p>
    <w:p>
      <w:pPr>
        <w:pStyle w:val="20"/>
        <w:tabs>
          <w:tab w:val="left" w:pos="5580"/>
        </w:tabs>
        <w:spacing w:line="500" w:lineRule="exact"/>
        <w:ind w:firstLine="480" w:firstLineChars="200"/>
        <w:rPr>
          <w:rFonts w:hint="eastAsia" w:ascii="宋体" w:hAnsi="宋体"/>
          <w:sz w:val="24"/>
        </w:rPr>
      </w:pPr>
      <w:r>
        <w:rPr>
          <w:rFonts w:hint="eastAsia" w:ascii="宋体" w:hAnsi="宋体"/>
          <w:sz w:val="24"/>
        </w:rPr>
        <w:t>地    址：陕西省西安市唐延路6号</w:t>
      </w:r>
    </w:p>
    <w:p>
      <w:pPr>
        <w:pStyle w:val="20"/>
        <w:tabs>
          <w:tab w:val="left" w:pos="5580"/>
        </w:tabs>
        <w:spacing w:line="500" w:lineRule="exact"/>
        <w:ind w:firstLine="480" w:firstLineChars="200"/>
        <w:rPr>
          <w:rFonts w:hint="eastAsia" w:ascii="宋体" w:hAnsi="宋体"/>
          <w:sz w:val="24"/>
        </w:rPr>
      </w:pPr>
      <w:r>
        <w:rPr>
          <w:rFonts w:hint="eastAsia" w:ascii="宋体" w:hAnsi="宋体"/>
          <w:sz w:val="24"/>
        </w:rPr>
        <w:t>联 系 人：付先生</w:t>
      </w:r>
    </w:p>
    <w:p>
      <w:pPr>
        <w:pStyle w:val="20"/>
        <w:tabs>
          <w:tab w:val="left" w:pos="5580"/>
        </w:tabs>
        <w:spacing w:line="500" w:lineRule="exact"/>
        <w:ind w:firstLine="480" w:firstLineChars="200"/>
        <w:rPr>
          <w:rFonts w:hint="eastAsia" w:ascii="宋体" w:hAnsi="宋体"/>
          <w:sz w:val="24"/>
        </w:rPr>
      </w:pPr>
      <w:r>
        <w:rPr>
          <w:rFonts w:hint="eastAsia" w:ascii="宋体" w:hAnsi="宋体"/>
          <w:sz w:val="24"/>
        </w:rPr>
        <w:t>联系电话：029-88869807</w:t>
      </w:r>
    </w:p>
    <w:p>
      <w:pPr>
        <w:pStyle w:val="20"/>
        <w:tabs>
          <w:tab w:val="left" w:pos="5580"/>
        </w:tabs>
        <w:spacing w:line="500" w:lineRule="exact"/>
        <w:ind w:firstLine="480" w:firstLineChars="200"/>
        <w:jc w:val="right"/>
        <w:rPr>
          <w:rFonts w:hint="eastAsia"/>
        </w:rPr>
      </w:pPr>
      <w:r>
        <w:rPr>
          <w:rFonts w:hint="eastAsia" w:ascii="宋体" w:hAnsi="宋体"/>
          <w:sz w:val="24"/>
        </w:rPr>
        <w:t>日    期：</w:t>
      </w:r>
      <w:r>
        <w:rPr>
          <w:rFonts w:hint="eastAsia" w:ascii="宋体" w:hAnsi="宋体"/>
          <w:sz w:val="24"/>
          <w:lang w:val="en-US" w:eastAsia="zh-CN"/>
        </w:rPr>
        <w:t>2019</w:t>
      </w:r>
      <w:r>
        <w:rPr>
          <w:rFonts w:hint="eastAsia" w:ascii="宋体" w:hAnsi="宋体"/>
          <w:color w:val="000000"/>
          <w:sz w:val="24"/>
        </w:rPr>
        <w:t>年</w:t>
      </w:r>
      <w:r>
        <w:rPr>
          <w:rFonts w:hint="eastAsia" w:ascii="宋体" w:hAnsi="宋体"/>
          <w:color w:val="000000"/>
          <w:sz w:val="24"/>
          <w:lang w:val="en-US" w:eastAsia="zh-CN"/>
        </w:rPr>
        <w:t>4</w:t>
      </w:r>
      <w:r>
        <w:rPr>
          <w:rFonts w:hint="eastAsia" w:ascii="宋体" w:hAnsi="宋体"/>
          <w:color w:val="000000"/>
          <w:sz w:val="24"/>
        </w:rPr>
        <w:t>月</w:t>
      </w:r>
      <w:r>
        <w:rPr>
          <w:rFonts w:hint="eastAsia" w:ascii="宋体" w:hAnsi="宋体"/>
          <w:color w:val="000000"/>
          <w:sz w:val="24"/>
          <w:lang w:val="en-US" w:eastAsia="zh-CN"/>
        </w:rPr>
        <w:t>29</w:t>
      </w:r>
      <w:r>
        <w:rPr>
          <w:rFonts w:hint="eastAsia" w:ascii="宋体" w:hAnsi="宋体"/>
          <w:color w:val="000000"/>
          <w:sz w:val="24"/>
        </w:rPr>
        <w:t>日</w:t>
      </w:r>
    </w:p>
    <w:p>
      <w:pPr>
        <w:tabs>
          <w:tab w:val="left" w:pos="1778"/>
        </w:tabs>
        <w:spacing w:line="420" w:lineRule="exact"/>
        <w:ind w:firstLine="480" w:firstLineChars="200"/>
        <w:rPr>
          <w:rFonts w:ascii="宋体" w:hAnsi="宋体" w:cs="宋体"/>
          <w:sz w:val="24"/>
          <w:szCs w:val="24"/>
        </w:rPr>
      </w:pPr>
    </w:p>
    <w:p>
      <w:pPr>
        <w:tabs>
          <w:tab w:val="left" w:pos="1778"/>
        </w:tabs>
        <w:spacing w:line="420" w:lineRule="exact"/>
        <w:rPr>
          <w:rFonts w:hint="eastAsia" w:ascii="宋体" w:hAnsi="宋体" w:cs="宋体"/>
          <w:sz w:val="24"/>
          <w:szCs w:val="24"/>
        </w:rPr>
      </w:pPr>
      <w:r>
        <w:rPr>
          <w:rFonts w:hint="eastAsia" w:ascii="宋体" w:hAnsi="宋体" w:cs="宋体"/>
          <w:sz w:val="24"/>
          <w:szCs w:val="24"/>
        </w:rPr>
        <w:t>附件：陕西省鄠邑经周至至眉县高速公路PPP项目前期咨询服务招标评标办法</w:t>
      </w:r>
    </w:p>
    <w:p>
      <w:pPr>
        <w:tabs>
          <w:tab w:val="left" w:pos="1778"/>
        </w:tabs>
        <w:wordWrap w:val="0"/>
        <w:spacing w:line="420" w:lineRule="exact"/>
        <w:ind w:right="700" w:firstLine="485"/>
        <w:jc w:val="right"/>
        <w:rPr>
          <w:rFonts w:ascii="宋体" w:cs="宋体"/>
          <w:sz w:val="24"/>
          <w:szCs w:val="24"/>
          <w:u w:val="single"/>
        </w:rPr>
      </w:pPr>
    </w:p>
    <w:p>
      <w:pPr>
        <w:tabs>
          <w:tab w:val="left" w:pos="1778"/>
        </w:tabs>
        <w:spacing w:line="420" w:lineRule="exact"/>
        <w:rPr>
          <w:rFonts w:ascii="宋体" w:cs="宋体"/>
          <w:sz w:val="24"/>
          <w:szCs w:val="24"/>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center"/>
        <w:rPr>
          <w:rFonts w:ascii="宋体" w:hAnsi="宋体" w:cs="宋体"/>
          <w:b/>
          <w:bCs/>
          <w:spacing w:val="-6"/>
          <w:sz w:val="32"/>
          <w:szCs w:val="32"/>
        </w:rPr>
      </w:pPr>
    </w:p>
    <w:p>
      <w:pPr>
        <w:spacing w:beforeLines="50" w:afterLines="50" w:line="360" w:lineRule="auto"/>
        <w:jc w:val="both"/>
        <w:rPr>
          <w:rFonts w:hint="eastAsia" w:ascii="宋体" w:hAnsi="宋体" w:eastAsia="宋体" w:cs="宋体"/>
          <w:b/>
          <w:bCs/>
          <w:spacing w:val="-6"/>
          <w:sz w:val="32"/>
          <w:szCs w:val="32"/>
          <w:lang w:eastAsia="zh-CN"/>
        </w:rPr>
      </w:pPr>
      <w:r>
        <w:rPr>
          <w:rFonts w:hint="eastAsia" w:ascii="宋体" w:hAnsi="宋体" w:cs="宋体"/>
          <w:b/>
          <w:bCs/>
          <w:spacing w:val="-6"/>
          <w:sz w:val="32"/>
          <w:szCs w:val="32"/>
          <w:lang w:eastAsia="zh-CN"/>
        </w:rPr>
        <w:t>附件：</w:t>
      </w:r>
    </w:p>
    <w:p>
      <w:pPr>
        <w:spacing w:beforeLines="50" w:afterLines="50" w:line="360" w:lineRule="auto"/>
        <w:jc w:val="center"/>
        <w:rPr>
          <w:rFonts w:hint="eastAsia" w:ascii="宋体" w:hAnsi="宋体" w:cs="宋体"/>
          <w:b/>
          <w:bCs/>
          <w:spacing w:val="-6"/>
          <w:sz w:val="32"/>
          <w:szCs w:val="32"/>
        </w:rPr>
      </w:pPr>
      <w:r>
        <w:rPr>
          <w:rFonts w:hint="eastAsia" w:ascii="宋体" w:hAnsi="宋体" w:cs="宋体"/>
          <w:b/>
          <w:bCs/>
          <w:spacing w:val="-6"/>
          <w:sz w:val="32"/>
          <w:szCs w:val="32"/>
        </w:rPr>
        <w:t>陕西省鄠邑经周至至眉县高速公路PPP项目前期咨询服务招标</w:t>
      </w:r>
    </w:p>
    <w:p>
      <w:pPr>
        <w:spacing w:beforeLines="50" w:afterLines="50" w:line="360" w:lineRule="auto"/>
        <w:jc w:val="center"/>
        <w:rPr>
          <w:rFonts w:hint="eastAsia" w:ascii="宋体" w:hAnsi="宋体" w:cs="宋体"/>
          <w:b/>
          <w:bCs/>
          <w:spacing w:val="-6"/>
          <w:sz w:val="32"/>
          <w:szCs w:val="32"/>
        </w:rPr>
      </w:pPr>
      <w:r>
        <w:rPr>
          <w:rFonts w:hint="eastAsia" w:ascii="宋体" w:hAnsi="宋体" w:cs="宋体"/>
          <w:b/>
          <w:bCs/>
          <w:spacing w:val="-6"/>
          <w:sz w:val="32"/>
          <w:szCs w:val="32"/>
        </w:rPr>
        <w:t>评标办法</w:t>
      </w:r>
    </w:p>
    <w:tbl>
      <w:tblPr>
        <w:tblStyle w:val="10"/>
        <w:tblW w:w="9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567"/>
        <w:gridCol w:w="1559"/>
        <w:gridCol w:w="6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44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条款号</w:t>
            </w:r>
          </w:p>
        </w:tc>
        <w:tc>
          <w:tcPr>
            <w:tcW w:w="819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r>
              <w:rPr>
                <w:rFonts w:hint="eastAsia" w:ascii="宋体" w:hAnsi="宋体"/>
                <w:bCs/>
                <w:szCs w:val="21"/>
              </w:rPr>
              <w:t>1</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bCs/>
                <w:szCs w:val="21"/>
              </w:rPr>
            </w:pPr>
            <w:r>
              <w:rPr>
                <w:rFonts w:hint="eastAsia" w:ascii="宋体" w:hAnsi="宋体"/>
                <w:bCs/>
                <w:szCs w:val="21"/>
              </w:rPr>
              <w:t>评标</w:t>
            </w:r>
          </w:p>
          <w:p>
            <w:pPr>
              <w:spacing w:line="360" w:lineRule="auto"/>
              <w:jc w:val="center"/>
              <w:rPr>
                <w:rFonts w:hint="eastAsia" w:ascii="宋体" w:hAnsi="宋体"/>
                <w:bCs/>
                <w:szCs w:val="21"/>
              </w:rPr>
            </w:pPr>
            <w:r>
              <w:rPr>
                <w:rFonts w:hint="eastAsia" w:ascii="宋体" w:hAnsi="宋体"/>
                <w:bCs/>
                <w:szCs w:val="21"/>
              </w:rPr>
              <w:t>方法</w:t>
            </w:r>
          </w:p>
        </w:tc>
        <w:tc>
          <w:tcPr>
            <w:tcW w:w="819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206" w:firstLineChars="100"/>
              <w:jc w:val="left"/>
              <w:rPr>
                <w:rFonts w:hint="eastAsia" w:ascii="宋体" w:hAnsi="宋体"/>
                <w:spacing w:val="-2"/>
                <w:szCs w:val="21"/>
              </w:rPr>
            </w:pPr>
            <w:r>
              <w:rPr>
                <w:rFonts w:hint="eastAsia" w:ascii="宋体" w:hAnsi="宋体"/>
                <w:spacing w:val="-2"/>
                <w:szCs w:val="21"/>
              </w:rPr>
              <w:t>本次招标采用双信封+综合评估法+资格后审，总分100分，其中商务部分占</w:t>
            </w:r>
            <w:r>
              <w:rPr>
                <w:rFonts w:hint="eastAsia" w:ascii="宋体" w:hAnsi="宋体"/>
                <w:spacing w:val="-2"/>
                <w:szCs w:val="21"/>
                <w:lang w:val="en-US" w:eastAsia="zh-CN"/>
              </w:rPr>
              <w:t>65</w:t>
            </w:r>
            <w:r>
              <w:rPr>
                <w:rFonts w:hint="eastAsia" w:ascii="宋体" w:hAnsi="宋体"/>
                <w:spacing w:val="-2"/>
                <w:szCs w:val="21"/>
              </w:rPr>
              <w:t>分，技术部分占</w:t>
            </w:r>
            <w:r>
              <w:rPr>
                <w:rFonts w:hint="eastAsia" w:ascii="宋体" w:hAnsi="宋体"/>
                <w:spacing w:val="-2"/>
                <w:szCs w:val="21"/>
                <w:lang w:val="en-US" w:eastAsia="zh-CN"/>
              </w:rPr>
              <w:t>25</w:t>
            </w:r>
            <w:r>
              <w:rPr>
                <w:rFonts w:hint="eastAsia" w:ascii="宋体" w:hAnsi="宋体"/>
                <w:spacing w:val="-2"/>
                <w:szCs w:val="21"/>
              </w:rPr>
              <w:t>分，报价占10分。</w:t>
            </w:r>
          </w:p>
          <w:p>
            <w:pPr>
              <w:spacing w:line="360" w:lineRule="exact"/>
              <w:ind w:firstLine="206" w:firstLineChars="100"/>
              <w:jc w:val="left"/>
              <w:rPr>
                <w:rFonts w:hint="eastAsia" w:ascii="宋体" w:hAnsi="宋体"/>
                <w:spacing w:val="-2"/>
                <w:szCs w:val="21"/>
              </w:rPr>
            </w:pPr>
            <w:r>
              <w:rPr>
                <w:rFonts w:hint="eastAsia" w:ascii="宋体" w:hAnsi="宋体"/>
                <w:spacing w:val="-2"/>
                <w:szCs w:val="21"/>
              </w:rPr>
              <w:t>综合评分相等时，评标委员会依次按照以下有限顺序推荐中标候选人或确定中标人：</w:t>
            </w:r>
          </w:p>
          <w:p>
            <w:pPr>
              <w:spacing w:line="360" w:lineRule="exact"/>
              <w:ind w:firstLine="210" w:firstLineChars="100"/>
              <w:jc w:val="left"/>
              <w:rPr>
                <w:rFonts w:hint="eastAsia" w:ascii="宋体" w:hAnsi="宋体"/>
                <w:szCs w:val="21"/>
              </w:rPr>
            </w:pPr>
            <w:r>
              <w:rPr>
                <w:rFonts w:hint="eastAsia" w:ascii="宋体" w:hAnsi="宋体"/>
                <w:szCs w:val="21"/>
              </w:rPr>
              <w:t>（1）评标价低的投标人优先；</w:t>
            </w:r>
          </w:p>
          <w:p>
            <w:pPr>
              <w:spacing w:line="360" w:lineRule="exact"/>
              <w:ind w:firstLine="210" w:firstLineChars="100"/>
              <w:jc w:val="left"/>
              <w:rPr>
                <w:rFonts w:hint="eastAsia" w:ascii="宋体" w:hAnsi="宋体"/>
                <w:szCs w:val="21"/>
              </w:rPr>
            </w:pPr>
            <w:r>
              <w:rPr>
                <w:rFonts w:hint="eastAsia" w:ascii="宋体" w:hAnsi="宋体"/>
                <w:szCs w:val="21"/>
              </w:rPr>
              <w:t>（2）商务和技术得分较高的投标人优先。</w:t>
            </w:r>
          </w:p>
          <w:p>
            <w:pPr>
              <w:spacing w:line="360" w:lineRule="exact"/>
              <w:ind w:firstLine="210" w:firstLineChars="100"/>
              <w:jc w:val="left"/>
              <w:rPr>
                <w:rFonts w:hint="eastAsia" w:ascii="宋体" w:hAnsi="宋体"/>
                <w:szCs w:val="21"/>
              </w:rPr>
            </w:pPr>
          </w:p>
          <w:p>
            <w:pPr>
              <w:spacing w:line="360" w:lineRule="exact"/>
              <w:ind w:firstLine="210" w:firstLineChars="100"/>
              <w:jc w:val="left"/>
              <w:rPr>
                <w:rFonts w:hint="eastAsia" w:ascii="宋体" w:hAnsi="宋体"/>
                <w:szCs w:val="21"/>
              </w:rPr>
            </w:pPr>
          </w:p>
          <w:p>
            <w:pPr>
              <w:spacing w:line="360" w:lineRule="exact"/>
              <w:ind w:firstLine="210" w:firstLineChars="100"/>
              <w:jc w:val="left"/>
              <w:rPr>
                <w:rFonts w:hint="eastAsia" w:ascii="宋体" w:hAnsi="宋体"/>
                <w:szCs w:val="21"/>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9" w:hRule="atLeast"/>
          <w:jc w:val="center"/>
        </w:trPr>
        <w:tc>
          <w:tcPr>
            <w:tcW w:w="881"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szCs w:val="21"/>
              </w:rPr>
            </w:pPr>
            <w:r>
              <w:rPr>
                <w:rFonts w:ascii="宋体" w:hAnsi="宋体"/>
                <w:szCs w:val="21"/>
              </w:rPr>
              <w:t>2.1.1</w:t>
            </w:r>
          </w:p>
          <w:p>
            <w:pPr>
              <w:jc w:val="center"/>
              <w:rPr>
                <w:rFonts w:ascii="宋体" w:hAnsi="宋体"/>
                <w:szCs w:val="21"/>
              </w:rPr>
            </w:pPr>
            <w:r>
              <w:rPr>
                <w:rFonts w:ascii="宋体" w:hAnsi="宋体"/>
                <w:szCs w:val="21"/>
              </w:rPr>
              <w:t>2.1.3</w:t>
            </w:r>
          </w:p>
        </w:tc>
        <w:tc>
          <w:tcPr>
            <w:tcW w:w="567"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形式评审标准与响应性评审标准</w:t>
            </w:r>
          </w:p>
        </w:tc>
        <w:tc>
          <w:tcPr>
            <w:tcW w:w="8191"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b/>
                <w:szCs w:val="21"/>
              </w:rPr>
            </w:pPr>
            <w:r>
              <w:rPr>
                <w:rFonts w:hint="eastAsia" w:ascii="宋体" w:hAnsi="宋体"/>
                <w:b/>
                <w:szCs w:val="21"/>
              </w:rPr>
              <w:t xml:space="preserve">   第一个信封（商务及技术文件）评审标准：</w:t>
            </w:r>
          </w:p>
          <w:p>
            <w:pPr>
              <w:spacing w:line="340" w:lineRule="exact"/>
              <w:ind w:firstLine="210" w:firstLineChars="100"/>
              <w:rPr>
                <w:rFonts w:hint="eastAsia" w:ascii="宋体" w:hAnsi="宋体"/>
                <w:szCs w:val="21"/>
              </w:rPr>
            </w:pPr>
            <w:r>
              <w:rPr>
                <w:rFonts w:hint="eastAsia" w:ascii="宋体" w:hAnsi="宋体"/>
                <w:szCs w:val="21"/>
              </w:rPr>
              <w:t>（1）投标文件按照招标文件规定的格式、内容填写，字迹清晰可辨：</w:t>
            </w:r>
          </w:p>
          <w:p>
            <w:pPr>
              <w:spacing w:line="340" w:lineRule="exact"/>
              <w:ind w:firstLine="210" w:firstLineChars="100"/>
              <w:rPr>
                <w:rFonts w:hint="eastAsia" w:ascii="宋体" w:hAnsi="宋体"/>
                <w:szCs w:val="21"/>
              </w:rPr>
            </w:pPr>
            <w:r>
              <w:rPr>
                <w:rFonts w:hint="eastAsia" w:ascii="宋体" w:hAnsi="宋体"/>
                <w:szCs w:val="21"/>
              </w:rPr>
              <w:t>a.投标函按照招标文件规定填报了项目名称、标段号、补遗书编号（如有）、技术服务周期；</w:t>
            </w:r>
          </w:p>
          <w:p>
            <w:pPr>
              <w:spacing w:line="340" w:lineRule="exact"/>
              <w:ind w:firstLine="210" w:firstLineChars="100"/>
              <w:rPr>
                <w:rFonts w:hint="eastAsia" w:ascii="宋体" w:hAnsi="宋体"/>
                <w:szCs w:val="21"/>
              </w:rPr>
            </w:pPr>
            <w:r>
              <w:rPr>
                <w:rFonts w:hint="eastAsia" w:ascii="宋体" w:hAnsi="宋体"/>
                <w:szCs w:val="21"/>
              </w:rPr>
              <w:t>b.投标文件组成齐全完整，内容均按招标文件第二章“投标人须知”第七章“投标文件格式”规定填写；</w:t>
            </w:r>
          </w:p>
          <w:p>
            <w:pPr>
              <w:spacing w:line="340" w:lineRule="exact"/>
              <w:ind w:firstLine="210" w:firstLineChars="100"/>
              <w:rPr>
                <w:rFonts w:hint="eastAsia" w:ascii="宋体" w:hAnsi="宋体"/>
                <w:szCs w:val="21"/>
              </w:rPr>
            </w:pPr>
            <w:r>
              <w:rPr>
                <w:rFonts w:hint="eastAsia" w:ascii="宋体" w:hAnsi="宋体"/>
                <w:szCs w:val="21"/>
              </w:rPr>
              <w:t>（2）投标文件上法定代表人或其委托代理人的签字、投标人的单位盖章齐全，符合招标文件规定。</w:t>
            </w:r>
          </w:p>
          <w:p>
            <w:pPr>
              <w:spacing w:line="340" w:lineRule="exact"/>
              <w:ind w:firstLine="210" w:firstLineChars="100"/>
              <w:rPr>
                <w:rFonts w:hint="eastAsia" w:ascii="宋体" w:hAnsi="宋体"/>
                <w:szCs w:val="21"/>
              </w:rPr>
            </w:pPr>
            <w:r>
              <w:rPr>
                <w:rFonts w:hint="eastAsia" w:ascii="宋体" w:hAnsi="宋体"/>
                <w:szCs w:val="21"/>
              </w:rPr>
              <w:t>（3）投标人按照招标文件的规定提供了投标保证金：</w:t>
            </w:r>
          </w:p>
          <w:p>
            <w:pPr>
              <w:spacing w:line="340" w:lineRule="exact"/>
              <w:ind w:firstLine="210" w:firstLineChars="100"/>
              <w:rPr>
                <w:rFonts w:hint="eastAsia" w:ascii="宋体" w:hAnsi="宋体"/>
                <w:spacing w:val="-2"/>
                <w:szCs w:val="21"/>
              </w:rPr>
            </w:pPr>
            <w:r>
              <w:rPr>
                <w:rFonts w:hint="eastAsia" w:ascii="宋体" w:hAnsi="宋体"/>
                <w:szCs w:val="21"/>
              </w:rPr>
              <w:t>a.</w:t>
            </w:r>
            <w:r>
              <w:rPr>
                <w:rFonts w:hint="eastAsia" w:ascii="宋体" w:hAnsi="宋体"/>
                <w:spacing w:val="-2"/>
                <w:szCs w:val="21"/>
              </w:rPr>
              <w:t>投标保证金金额符合招标文件规定的金额，且投标保证金有效期不少于投标有效期；</w:t>
            </w:r>
          </w:p>
          <w:p>
            <w:pPr>
              <w:spacing w:line="340" w:lineRule="exact"/>
              <w:ind w:firstLine="210" w:firstLineChars="100"/>
              <w:rPr>
                <w:rFonts w:hint="eastAsia" w:ascii="宋体" w:hAnsi="宋体"/>
                <w:szCs w:val="21"/>
              </w:rPr>
            </w:pPr>
            <w:r>
              <w:rPr>
                <w:rFonts w:hint="eastAsia" w:ascii="宋体" w:hAnsi="宋体"/>
                <w:szCs w:val="21"/>
              </w:rPr>
              <w:t>b.若投标保证金采用现金或支票形式提交，投标人应在递交投标文件截止时间之前，将投标保证金由投标人的基本账户转入招标人指定账户；</w:t>
            </w:r>
          </w:p>
          <w:p>
            <w:pPr>
              <w:spacing w:line="340" w:lineRule="exact"/>
              <w:ind w:firstLine="210" w:firstLineChars="100"/>
              <w:rPr>
                <w:rFonts w:hint="eastAsia" w:ascii="宋体" w:hAnsi="宋体"/>
                <w:szCs w:val="21"/>
              </w:rPr>
            </w:pPr>
            <w:r>
              <w:rPr>
                <w:rFonts w:hint="eastAsia" w:ascii="宋体" w:hAnsi="宋体"/>
                <w:szCs w:val="21"/>
              </w:rPr>
              <w:t>c.若投标保证金采用银行保函形式提交，银行保函的格式、开具保函的银行均满足招标文件要求，且在递交投标文件截止时间之前向招标人提交了银行保函原件。</w:t>
            </w:r>
          </w:p>
          <w:p>
            <w:pPr>
              <w:spacing w:line="340" w:lineRule="exact"/>
              <w:ind w:firstLine="210" w:firstLineChars="100"/>
              <w:rPr>
                <w:rFonts w:hint="eastAsia" w:ascii="宋体" w:hAnsi="宋体"/>
                <w:szCs w:val="21"/>
              </w:rPr>
            </w:pPr>
            <w:r>
              <w:rPr>
                <w:rFonts w:hint="eastAsia" w:ascii="宋体" w:hAnsi="宋体"/>
                <w:szCs w:val="21"/>
              </w:rPr>
              <w:t>（4）投标人法定代表人授权委托代理人签署投标文件的，须提交授权委托书，且授权人和被授权人均在授权委托书上签名，未使用印章、签名章或其他电子制版签名代替。</w:t>
            </w:r>
          </w:p>
          <w:p>
            <w:pPr>
              <w:spacing w:line="340" w:lineRule="exact"/>
              <w:ind w:firstLine="210" w:firstLineChars="100"/>
              <w:rPr>
                <w:rFonts w:hint="eastAsia" w:ascii="宋体" w:hAnsi="宋体"/>
                <w:szCs w:val="21"/>
              </w:rPr>
            </w:pPr>
            <w:r>
              <w:rPr>
                <w:rFonts w:hint="eastAsia" w:ascii="宋体" w:hAnsi="宋体"/>
                <w:szCs w:val="21"/>
              </w:rPr>
              <w:t>（5）投标人法定代表人亲自签署投标文件的，提供了法定代表人身份证明，且法定代表人在法定代表人身份证明上签名，未使用印章、签名章或其他电子制版签名代替。</w:t>
            </w:r>
          </w:p>
          <w:p>
            <w:pPr>
              <w:spacing w:line="340" w:lineRule="exact"/>
              <w:ind w:firstLine="210" w:firstLineChars="100"/>
              <w:rPr>
                <w:rFonts w:hint="eastAsia" w:ascii="宋体" w:hAnsi="宋体"/>
                <w:szCs w:val="21"/>
              </w:rPr>
            </w:pPr>
            <w:r>
              <w:rPr>
                <w:rFonts w:hint="eastAsia" w:ascii="宋体" w:hAnsi="宋体"/>
                <w:szCs w:val="21"/>
              </w:rPr>
              <w:t>（6）同一投标人未提交两个以上不同的投标文件。</w:t>
            </w:r>
          </w:p>
          <w:p>
            <w:pPr>
              <w:spacing w:line="340" w:lineRule="exact"/>
              <w:ind w:firstLine="210" w:firstLineChars="100"/>
              <w:jc w:val="left"/>
              <w:rPr>
                <w:rFonts w:hint="eastAsia" w:ascii="宋体" w:hAnsi="宋体"/>
                <w:szCs w:val="21"/>
              </w:rPr>
            </w:pPr>
            <w:r>
              <w:rPr>
                <w:rFonts w:hint="eastAsia" w:ascii="宋体" w:hAnsi="宋体"/>
                <w:szCs w:val="21"/>
              </w:rPr>
              <w:t>（7）投标文件中未出现有关投标报价的内容。</w:t>
            </w:r>
          </w:p>
          <w:p>
            <w:pPr>
              <w:spacing w:line="340" w:lineRule="exact"/>
              <w:ind w:firstLine="210" w:firstLineChars="100"/>
              <w:jc w:val="left"/>
              <w:rPr>
                <w:rFonts w:hint="eastAsia" w:ascii="宋体" w:hAnsi="宋体"/>
                <w:szCs w:val="21"/>
              </w:rPr>
            </w:pPr>
            <w:r>
              <w:rPr>
                <w:rFonts w:hint="eastAsia" w:ascii="宋体" w:hAnsi="宋体"/>
                <w:szCs w:val="21"/>
              </w:rPr>
              <w:t>（8）投标文件载明的招标项目完成期限未超过招标文件规定的时限。</w:t>
            </w:r>
          </w:p>
          <w:p>
            <w:pPr>
              <w:spacing w:line="340" w:lineRule="exact"/>
              <w:ind w:firstLine="210" w:firstLineChars="100"/>
              <w:jc w:val="left"/>
              <w:rPr>
                <w:rFonts w:hint="eastAsia" w:ascii="宋体" w:hAnsi="宋体"/>
                <w:szCs w:val="21"/>
              </w:rPr>
            </w:pPr>
            <w:r>
              <w:rPr>
                <w:rFonts w:hint="eastAsia" w:ascii="宋体" w:hAnsi="宋体"/>
                <w:szCs w:val="21"/>
              </w:rPr>
              <w:t>（9）投标文件对招标文件的实质性要求和条件作出响应。</w:t>
            </w:r>
          </w:p>
          <w:p>
            <w:pPr>
              <w:spacing w:line="340" w:lineRule="exact"/>
              <w:ind w:firstLine="210" w:firstLineChars="100"/>
              <w:jc w:val="left"/>
              <w:rPr>
                <w:rFonts w:hint="eastAsia" w:ascii="宋体" w:hAnsi="宋体"/>
                <w:szCs w:val="21"/>
              </w:rPr>
            </w:pPr>
            <w:r>
              <w:rPr>
                <w:rFonts w:hint="eastAsia" w:ascii="宋体" w:hAnsi="宋体"/>
                <w:szCs w:val="21"/>
              </w:rPr>
              <w:t>（10）权利义务符合招标文件规定：</w:t>
            </w:r>
          </w:p>
          <w:p>
            <w:pPr>
              <w:spacing w:line="340" w:lineRule="exact"/>
              <w:ind w:firstLine="210" w:firstLineChars="100"/>
              <w:jc w:val="left"/>
              <w:rPr>
                <w:rFonts w:ascii="宋体" w:hAnsi="宋体"/>
                <w:szCs w:val="21"/>
              </w:rPr>
            </w:pPr>
            <w:r>
              <w:rPr>
                <w:rFonts w:hint="eastAsia" w:ascii="宋体" w:hAnsi="宋体"/>
                <w:szCs w:val="21"/>
              </w:rPr>
              <w:t>a.投标人应接受招标文件规定的风险划分原则，未提出新的风险划分办法；</w:t>
            </w:r>
          </w:p>
          <w:p>
            <w:pPr>
              <w:spacing w:line="340" w:lineRule="exact"/>
              <w:ind w:firstLine="210" w:firstLineChars="100"/>
              <w:jc w:val="left"/>
              <w:rPr>
                <w:rFonts w:ascii="宋体" w:hAnsi="宋体"/>
                <w:szCs w:val="21"/>
              </w:rPr>
            </w:pPr>
            <w:r>
              <w:rPr>
                <w:rFonts w:hint="eastAsia" w:ascii="宋体" w:hAnsi="宋体"/>
                <w:szCs w:val="21"/>
              </w:rPr>
              <w:t>b.投标人未增加委托人的责任范围，或减少投标人义务；</w:t>
            </w:r>
          </w:p>
          <w:p>
            <w:pPr>
              <w:spacing w:line="340" w:lineRule="exact"/>
              <w:ind w:firstLine="210" w:firstLineChars="100"/>
              <w:jc w:val="left"/>
              <w:rPr>
                <w:rFonts w:ascii="宋体" w:hAnsi="宋体"/>
                <w:szCs w:val="21"/>
              </w:rPr>
            </w:pPr>
            <w:r>
              <w:rPr>
                <w:rFonts w:hint="eastAsia" w:ascii="宋体" w:hAnsi="宋体"/>
                <w:szCs w:val="21"/>
              </w:rPr>
              <w:t>c.投标人未提出不同的支付办法；</w:t>
            </w:r>
          </w:p>
          <w:p>
            <w:pPr>
              <w:spacing w:line="340" w:lineRule="exact"/>
              <w:ind w:firstLine="210" w:firstLineChars="100"/>
              <w:jc w:val="left"/>
              <w:rPr>
                <w:rFonts w:hint="eastAsia" w:ascii="宋体" w:hAnsi="宋体"/>
                <w:szCs w:val="21"/>
              </w:rPr>
            </w:pPr>
            <w:r>
              <w:rPr>
                <w:rFonts w:hint="eastAsia" w:ascii="宋体" w:hAnsi="宋体"/>
                <w:szCs w:val="21"/>
              </w:rPr>
              <w:t>d.投标人对合同纠纷、事故处理办法未提出异议；</w:t>
            </w:r>
          </w:p>
          <w:p>
            <w:pPr>
              <w:spacing w:line="340" w:lineRule="exact"/>
              <w:ind w:firstLine="210" w:firstLineChars="100"/>
              <w:jc w:val="left"/>
              <w:rPr>
                <w:rFonts w:hint="eastAsia" w:ascii="宋体" w:hAnsi="宋体"/>
                <w:szCs w:val="21"/>
              </w:rPr>
            </w:pPr>
            <w:r>
              <w:rPr>
                <w:rFonts w:hint="eastAsia" w:ascii="宋体" w:hAnsi="宋体"/>
                <w:szCs w:val="21"/>
              </w:rPr>
              <w:t>e.投标人在投标活动中无欺诈行为；</w:t>
            </w:r>
          </w:p>
          <w:p>
            <w:pPr>
              <w:spacing w:line="340" w:lineRule="exact"/>
              <w:ind w:firstLine="210" w:firstLineChars="100"/>
              <w:jc w:val="left"/>
              <w:rPr>
                <w:rFonts w:hint="eastAsia" w:ascii="宋体" w:hAnsi="宋体"/>
                <w:szCs w:val="21"/>
              </w:rPr>
            </w:pPr>
            <w:r>
              <w:rPr>
                <w:rFonts w:hint="eastAsia" w:ascii="宋体" w:hAnsi="宋体"/>
                <w:szCs w:val="21"/>
              </w:rPr>
              <w:t>f.投标人未对合同条款有重要保留。</w:t>
            </w:r>
          </w:p>
          <w:p>
            <w:pPr>
              <w:spacing w:line="340" w:lineRule="exact"/>
              <w:ind w:firstLine="210" w:firstLineChars="100"/>
              <w:jc w:val="left"/>
              <w:rPr>
                <w:rFonts w:hint="eastAsia" w:ascii="宋体" w:hAnsi="宋体"/>
                <w:szCs w:val="21"/>
              </w:rPr>
            </w:pPr>
            <w:r>
              <w:rPr>
                <w:rFonts w:hint="eastAsia" w:ascii="宋体" w:hAnsi="宋体"/>
                <w:szCs w:val="21"/>
              </w:rPr>
              <w:t>（11）投标文件正、副本份数符合招标文件第二章“投标人须知”第3.7.4项规定。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3" w:hRule="atLeast"/>
          <w:jc w:val="center"/>
        </w:trPr>
        <w:tc>
          <w:tcPr>
            <w:tcW w:w="144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条款号</w:t>
            </w:r>
          </w:p>
        </w:tc>
        <w:tc>
          <w:tcPr>
            <w:tcW w:w="819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0" w:hRule="atLeast"/>
          <w:jc w:val="center"/>
        </w:trPr>
        <w:tc>
          <w:tcPr>
            <w:tcW w:w="881"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szCs w:val="21"/>
              </w:rPr>
            </w:pPr>
            <w:r>
              <w:rPr>
                <w:rFonts w:ascii="宋体" w:hAnsi="宋体"/>
                <w:szCs w:val="21"/>
              </w:rPr>
              <w:t>2.1.1</w:t>
            </w:r>
          </w:p>
          <w:p>
            <w:pPr>
              <w:jc w:val="center"/>
              <w:rPr>
                <w:rFonts w:ascii="宋体" w:hAnsi="宋体"/>
                <w:szCs w:val="21"/>
              </w:rPr>
            </w:pPr>
            <w:r>
              <w:rPr>
                <w:rFonts w:ascii="宋体" w:hAnsi="宋体"/>
                <w:szCs w:val="21"/>
              </w:rPr>
              <w:t>2.1.3</w:t>
            </w:r>
          </w:p>
        </w:tc>
        <w:tc>
          <w:tcPr>
            <w:tcW w:w="567"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形式评审标准与响应性评审标准</w:t>
            </w:r>
          </w:p>
        </w:tc>
        <w:tc>
          <w:tcPr>
            <w:tcW w:w="8191"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ind w:firstLine="210" w:firstLineChars="100"/>
              <w:jc w:val="left"/>
              <w:rPr>
                <w:rFonts w:hint="eastAsia" w:ascii="宋体" w:hAnsi="宋体"/>
                <w:b/>
                <w:szCs w:val="21"/>
              </w:rPr>
            </w:pPr>
            <w:r>
              <w:rPr>
                <w:rFonts w:hint="eastAsia" w:ascii="宋体" w:hAnsi="宋体"/>
                <w:b/>
                <w:szCs w:val="21"/>
              </w:rPr>
              <w:t>第二个信封（报价文件）评审标准：</w:t>
            </w:r>
          </w:p>
          <w:p>
            <w:pPr>
              <w:spacing w:line="340" w:lineRule="exact"/>
              <w:ind w:firstLine="210" w:firstLineChars="100"/>
              <w:jc w:val="left"/>
              <w:rPr>
                <w:rFonts w:hint="eastAsia" w:ascii="宋体" w:hAnsi="宋体"/>
                <w:szCs w:val="21"/>
              </w:rPr>
            </w:pPr>
            <w:r>
              <w:rPr>
                <w:rFonts w:hint="eastAsia" w:ascii="宋体" w:hAnsi="宋体"/>
                <w:szCs w:val="21"/>
              </w:rPr>
              <w:t>（1）投标文件按照招标文件规定的格式、内容填写，字迹清晰可辨，内容齐全完整：</w:t>
            </w:r>
          </w:p>
          <w:p>
            <w:pPr>
              <w:spacing w:line="340" w:lineRule="exact"/>
              <w:ind w:firstLine="210" w:firstLineChars="100"/>
              <w:jc w:val="left"/>
              <w:rPr>
                <w:rFonts w:hint="eastAsia" w:ascii="宋体" w:hAnsi="宋体"/>
                <w:szCs w:val="21"/>
              </w:rPr>
            </w:pPr>
            <w:r>
              <w:rPr>
                <w:rFonts w:hint="eastAsia" w:ascii="宋体" w:hAnsi="宋体"/>
                <w:szCs w:val="21"/>
              </w:rPr>
              <w:t>a.投标函按照招标文件规定填报了项目名称、标段号、补遗书编号（如有）、投标价（包括大写金额和小写金额）；</w:t>
            </w:r>
          </w:p>
          <w:p>
            <w:pPr>
              <w:spacing w:line="340" w:lineRule="exact"/>
              <w:ind w:firstLine="210" w:firstLineChars="100"/>
              <w:jc w:val="left"/>
              <w:rPr>
                <w:rFonts w:hint="eastAsia" w:ascii="宋体" w:hAnsi="宋体"/>
                <w:szCs w:val="21"/>
              </w:rPr>
            </w:pPr>
            <w:r>
              <w:rPr>
                <w:rFonts w:hint="eastAsia" w:ascii="宋体" w:hAnsi="宋体"/>
                <w:szCs w:val="21"/>
              </w:rPr>
              <w:t>b.以标价报价清单说明文字与招标文件规定一致，未进行实质性修改和删减；</w:t>
            </w:r>
          </w:p>
          <w:p>
            <w:pPr>
              <w:spacing w:line="340" w:lineRule="exact"/>
              <w:ind w:firstLine="210" w:firstLineChars="100"/>
              <w:jc w:val="left"/>
              <w:rPr>
                <w:rFonts w:hint="eastAsia" w:ascii="宋体" w:hAnsi="宋体"/>
                <w:szCs w:val="21"/>
              </w:rPr>
            </w:pPr>
            <w:r>
              <w:rPr>
                <w:rFonts w:hint="eastAsia" w:ascii="宋体" w:hAnsi="宋体"/>
                <w:szCs w:val="21"/>
              </w:rPr>
              <w:t>c.投标文件组成齐全完整，内容均按规定填写；</w:t>
            </w:r>
          </w:p>
          <w:p>
            <w:pPr>
              <w:spacing w:line="340" w:lineRule="exact"/>
              <w:ind w:firstLine="210" w:firstLineChars="100"/>
              <w:jc w:val="left"/>
              <w:rPr>
                <w:rFonts w:hint="eastAsia" w:ascii="宋体" w:hAnsi="宋体"/>
                <w:szCs w:val="21"/>
              </w:rPr>
            </w:pPr>
            <w:r>
              <w:rPr>
                <w:rFonts w:hint="eastAsia" w:ascii="宋体" w:hAnsi="宋体"/>
                <w:szCs w:val="21"/>
              </w:rPr>
              <w:t>（2）投标文件上法定代表人或其委托代理人的签字、投标人的单位盖章齐全，符合招标文件规定。</w:t>
            </w:r>
          </w:p>
          <w:p>
            <w:pPr>
              <w:spacing w:line="340" w:lineRule="exact"/>
              <w:ind w:firstLine="210" w:firstLineChars="100"/>
              <w:jc w:val="left"/>
              <w:rPr>
                <w:rFonts w:hint="eastAsia" w:ascii="宋体" w:hAnsi="宋体"/>
                <w:szCs w:val="21"/>
              </w:rPr>
            </w:pPr>
            <w:r>
              <w:rPr>
                <w:rFonts w:hint="eastAsia" w:ascii="宋体" w:hAnsi="宋体"/>
                <w:szCs w:val="21"/>
              </w:rPr>
              <w:t>（3）投标报价未超过招标文件设定的最高投标限价（如有）。</w:t>
            </w:r>
          </w:p>
          <w:p>
            <w:pPr>
              <w:spacing w:line="340" w:lineRule="exact"/>
              <w:ind w:firstLine="210" w:firstLineChars="100"/>
              <w:jc w:val="left"/>
              <w:rPr>
                <w:rFonts w:hint="eastAsia" w:ascii="宋体" w:hAnsi="宋体"/>
                <w:szCs w:val="21"/>
              </w:rPr>
            </w:pPr>
            <w:r>
              <w:rPr>
                <w:rFonts w:hint="eastAsia" w:ascii="宋体" w:hAnsi="宋体"/>
                <w:szCs w:val="21"/>
              </w:rPr>
              <w:t>（4）投标报价的大写金额能够确定具体数值。</w:t>
            </w:r>
          </w:p>
          <w:p>
            <w:pPr>
              <w:spacing w:line="340" w:lineRule="exact"/>
              <w:ind w:firstLine="210" w:firstLineChars="100"/>
              <w:jc w:val="left"/>
              <w:rPr>
                <w:rFonts w:hint="eastAsia" w:ascii="宋体" w:hAnsi="宋体"/>
                <w:szCs w:val="21"/>
              </w:rPr>
            </w:pPr>
            <w:r>
              <w:rPr>
                <w:rFonts w:hint="eastAsia" w:ascii="宋体" w:hAnsi="宋体"/>
                <w:szCs w:val="21"/>
              </w:rPr>
              <w:t>（5）同一投标人未提交两个以上不同的投标报价。</w:t>
            </w:r>
          </w:p>
          <w:p>
            <w:pPr>
              <w:spacing w:line="340" w:lineRule="exact"/>
              <w:ind w:firstLine="210" w:firstLineChars="100"/>
              <w:jc w:val="left"/>
              <w:rPr>
                <w:rFonts w:hint="eastAsia" w:ascii="宋体" w:hAnsi="宋体"/>
                <w:szCs w:val="21"/>
              </w:rPr>
            </w:pPr>
            <w:r>
              <w:rPr>
                <w:rFonts w:hint="eastAsia" w:ascii="宋体" w:hAnsi="宋体"/>
                <w:szCs w:val="21"/>
              </w:rPr>
              <w:t>（6）投标文件正、副本份数符合招标文件第二章“投标人须知”第3.7.4项规定。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1" w:type="dxa"/>
            <w:tcBorders>
              <w:top w:val="single" w:color="auto" w:sz="4" w:space="0"/>
              <w:left w:val="single" w:color="auto" w:sz="4" w:space="0"/>
              <w:right w:val="single" w:color="auto" w:sz="8" w:space="0"/>
            </w:tcBorders>
            <w:vAlign w:val="center"/>
          </w:tcPr>
          <w:p>
            <w:pPr>
              <w:jc w:val="center"/>
              <w:rPr>
                <w:rFonts w:hint="eastAsia" w:ascii="宋体" w:hAnsi="宋体"/>
                <w:szCs w:val="21"/>
              </w:rPr>
            </w:pPr>
            <w:r>
              <w:rPr>
                <w:rFonts w:hint="eastAsia" w:ascii="宋体" w:hAnsi="宋体"/>
                <w:szCs w:val="21"/>
              </w:rPr>
              <w:t>2.1.2</w:t>
            </w:r>
          </w:p>
        </w:tc>
        <w:tc>
          <w:tcPr>
            <w:tcW w:w="567" w:type="dxa"/>
            <w:tcBorders>
              <w:top w:val="single" w:color="auto" w:sz="4" w:space="0"/>
              <w:left w:val="single" w:color="auto" w:sz="8" w:space="0"/>
              <w:right w:val="single" w:color="auto" w:sz="4" w:space="0"/>
            </w:tcBorders>
            <w:vAlign w:val="center"/>
          </w:tcPr>
          <w:p>
            <w:pPr>
              <w:jc w:val="center"/>
              <w:rPr>
                <w:rFonts w:hint="eastAsia" w:ascii="宋体" w:hAnsi="宋体"/>
                <w:szCs w:val="21"/>
              </w:rPr>
            </w:pPr>
            <w:r>
              <w:rPr>
                <w:rFonts w:hint="eastAsia" w:ascii="宋体" w:hAnsi="宋体"/>
                <w:szCs w:val="21"/>
              </w:rPr>
              <w:t>资格评审标准</w:t>
            </w:r>
          </w:p>
        </w:tc>
        <w:tc>
          <w:tcPr>
            <w:tcW w:w="8191" w:type="dxa"/>
            <w:gridSpan w:val="2"/>
            <w:tcBorders>
              <w:top w:val="single" w:color="auto" w:sz="4" w:space="0"/>
              <w:left w:val="single" w:color="auto" w:sz="4" w:space="0"/>
              <w:bottom w:val="single" w:color="auto" w:sz="8" w:space="0"/>
              <w:right w:val="single" w:color="auto" w:sz="4" w:space="0"/>
            </w:tcBorders>
            <w:vAlign w:val="center"/>
          </w:tcPr>
          <w:p>
            <w:pPr>
              <w:autoSpaceDE w:val="0"/>
              <w:autoSpaceDN w:val="0"/>
              <w:spacing w:line="340" w:lineRule="exact"/>
              <w:ind w:firstLine="210" w:firstLineChars="100"/>
              <w:rPr>
                <w:rFonts w:ascii="宋体" w:cs="宋体"/>
                <w:kern w:val="0"/>
                <w:szCs w:val="21"/>
              </w:rPr>
            </w:pPr>
            <w:r>
              <w:rPr>
                <w:rFonts w:hint="eastAsia" w:ascii="宋体" w:cs="宋体"/>
                <w:kern w:val="0"/>
                <w:szCs w:val="21"/>
              </w:rPr>
              <w:t>（1）投标人具备有效的营业执照和基本账户开户许可证。</w:t>
            </w:r>
          </w:p>
          <w:p>
            <w:pPr>
              <w:spacing w:line="340" w:lineRule="exact"/>
              <w:ind w:firstLine="210" w:firstLineChars="100"/>
              <w:rPr>
                <w:rFonts w:hint="eastAsia" w:ascii="宋体" w:cs="宋体"/>
                <w:kern w:val="0"/>
                <w:szCs w:val="21"/>
              </w:rPr>
            </w:pPr>
            <w:r>
              <w:rPr>
                <w:rFonts w:hint="eastAsia" w:ascii="宋体" w:cs="宋体"/>
                <w:kern w:val="0"/>
                <w:szCs w:val="21"/>
              </w:rPr>
              <w:t>（</w:t>
            </w:r>
            <w:r>
              <w:rPr>
                <w:rFonts w:hint="eastAsia" w:ascii="宋体" w:cs="宋体"/>
                <w:kern w:val="0"/>
                <w:szCs w:val="21"/>
                <w:lang w:val="en-US" w:eastAsia="zh-CN"/>
              </w:rPr>
              <w:t>2</w:t>
            </w:r>
            <w:r>
              <w:rPr>
                <w:rFonts w:hint="eastAsia" w:ascii="宋体" w:cs="宋体"/>
                <w:kern w:val="0"/>
                <w:szCs w:val="21"/>
              </w:rPr>
              <w:t>）投标人的类似项目业绩符合招标文件规定。</w:t>
            </w:r>
          </w:p>
          <w:p>
            <w:pPr>
              <w:autoSpaceDE w:val="0"/>
              <w:autoSpaceDN w:val="0"/>
              <w:spacing w:line="340" w:lineRule="exact"/>
              <w:ind w:firstLine="210" w:firstLineChars="100"/>
              <w:rPr>
                <w:rFonts w:ascii="宋体" w:cs="宋体"/>
                <w:kern w:val="0"/>
                <w:szCs w:val="21"/>
              </w:rPr>
            </w:pPr>
            <w:r>
              <w:rPr>
                <w:rFonts w:hint="eastAsia" w:ascii="宋体" w:cs="宋体"/>
                <w:kern w:val="0"/>
                <w:szCs w:val="21"/>
              </w:rPr>
              <w:t>（</w:t>
            </w:r>
            <w:r>
              <w:rPr>
                <w:rFonts w:hint="eastAsia" w:ascii="宋体" w:cs="宋体"/>
                <w:kern w:val="0"/>
                <w:szCs w:val="21"/>
                <w:lang w:val="en-US" w:eastAsia="zh-CN"/>
              </w:rPr>
              <w:t>3</w:t>
            </w:r>
            <w:r>
              <w:rPr>
                <w:rFonts w:hint="eastAsia" w:ascii="宋体" w:cs="宋体"/>
                <w:kern w:val="0"/>
                <w:szCs w:val="21"/>
              </w:rPr>
              <w:t>）投标人的信誉符合招标文件规定。</w:t>
            </w:r>
          </w:p>
          <w:p>
            <w:pPr>
              <w:autoSpaceDE w:val="0"/>
              <w:autoSpaceDN w:val="0"/>
              <w:spacing w:line="340" w:lineRule="exact"/>
              <w:ind w:firstLine="210" w:firstLineChars="100"/>
              <w:rPr>
                <w:rFonts w:hint="eastAsia" w:ascii="宋体" w:cs="宋体"/>
                <w:kern w:val="0"/>
                <w:szCs w:val="21"/>
              </w:rPr>
            </w:pPr>
            <w:r>
              <w:rPr>
                <w:rFonts w:hint="eastAsia" w:ascii="宋体" w:cs="宋体"/>
                <w:kern w:val="0"/>
                <w:szCs w:val="21"/>
              </w:rPr>
              <w:t>（</w:t>
            </w:r>
            <w:r>
              <w:rPr>
                <w:rFonts w:hint="eastAsia" w:ascii="宋体" w:cs="宋体"/>
                <w:kern w:val="0"/>
                <w:szCs w:val="21"/>
                <w:lang w:val="en-US" w:eastAsia="zh-CN"/>
              </w:rPr>
              <w:t>4</w:t>
            </w:r>
            <w:r>
              <w:rPr>
                <w:rFonts w:hint="eastAsia" w:ascii="宋体" w:cs="宋体"/>
                <w:kern w:val="0"/>
                <w:szCs w:val="21"/>
              </w:rPr>
              <w:t>）投标人的项目负责人资格符合招标文件规定。</w:t>
            </w:r>
          </w:p>
          <w:p>
            <w:pPr>
              <w:autoSpaceDE w:val="0"/>
              <w:autoSpaceDN w:val="0"/>
              <w:spacing w:line="340" w:lineRule="exact"/>
              <w:ind w:firstLine="210" w:firstLineChars="100"/>
              <w:rPr>
                <w:rFonts w:hint="eastAsia" w:ascii="宋体" w:cs="宋体"/>
                <w:kern w:val="0"/>
                <w:szCs w:val="21"/>
              </w:rPr>
            </w:pPr>
            <w:r>
              <w:rPr>
                <w:rFonts w:hint="eastAsia" w:ascii="宋体" w:cs="宋体"/>
                <w:kern w:val="0"/>
                <w:szCs w:val="21"/>
              </w:rPr>
              <w:t>（</w:t>
            </w:r>
            <w:r>
              <w:rPr>
                <w:rFonts w:hint="eastAsia" w:ascii="宋体" w:cs="宋体"/>
                <w:kern w:val="0"/>
                <w:szCs w:val="21"/>
                <w:lang w:val="en-US" w:eastAsia="zh-CN"/>
              </w:rPr>
              <w:t>5</w:t>
            </w:r>
            <w:r>
              <w:rPr>
                <w:rFonts w:hint="eastAsia" w:ascii="宋体" w:cs="宋体"/>
                <w:kern w:val="0"/>
                <w:szCs w:val="21"/>
              </w:rPr>
              <w:t>）投标人的其他要求符合招标文件规定。</w:t>
            </w:r>
          </w:p>
          <w:p>
            <w:pPr>
              <w:autoSpaceDE w:val="0"/>
              <w:autoSpaceDN w:val="0"/>
              <w:spacing w:line="340" w:lineRule="exact"/>
              <w:ind w:firstLine="206" w:firstLineChars="100"/>
              <w:rPr>
                <w:rFonts w:hint="eastAsia" w:ascii="宋体" w:cs="宋体"/>
                <w:spacing w:val="-2"/>
                <w:kern w:val="0"/>
                <w:szCs w:val="21"/>
              </w:rPr>
            </w:pPr>
            <w:r>
              <w:rPr>
                <w:rFonts w:hint="eastAsia" w:ascii="宋体" w:cs="宋体"/>
                <w:spacing w:val="-2"/>
                <w:kern w:val="0"/>
                <w:szCs w:val="21"/>
              </w:rPr>
              <w:t>（</w:t>
            </w:r>
            <w:r>
              <w:rPr>
                <w:rFonts w:hint="eastAsia" w:ascii="宋体" w:cs="宋体"/>
                <w:spacing w:val="-2"/>
                <w:kern w:val="0"/>
                <w:szCs w:val="21"/>
                <w:lang w:val="en-US" w:eastAsia="zh-CN"/>
              </w:rPr>
              <w:t>6</w:t>
            </w:r>
            <w:r>
              <w:rPr>
                <w:rFonts w:hint="eastAsia" w:ascii="宋体" w:cs="宋体"/>
                <w:spacing w:val="-2"/>
                <w:kern w:val="0"/>
                <w:szCs w:val="21"/>
              </w:rPr>
              <w:t>）投标人不存在第二章“投标人须知”第</w:t>
            </w:r>
            <w:r>
              <w:rPr>
                <w:rFonts w:ascii="宋体" w:cs="宋体"/>
                <w:spacing w:val="-2"/>
                <w:kern w:val="0"/>
                <w:szCs w:val="21"/>
              </w:rPr>
              <w:t>1.4.3</w:t>
            </w:r>
            <w:r>
              <w:rPr>
                <w:rFonts w:hint="eastAsia" w:ascii="宋体" w:cs="宋体"/>
                <w:spacing w:val="-2"/>
                <w:kern w:val="0"/>
                <w:szCs w:val="21"/>
              </w:rPr>
              <w:t>项或第1.4.4项规定的任何一种情形。</w:t>
            </w:r>
          </w:p>
          <w:p>
            <w:pPr>
              <w:autoSpaceDE w:val="0"/>
              <w:autoSpaceDN w:val="0"/>
              <w:spacing w:line="340" w:lineRule="exact"/>
              <w:ind w:firstLine="206" w:firstLineChars="100"/>
              <w:rPr>
                <w:rFonts w:hint="eastAsia" w:ascii="宋体" w:cs="宋体"/>
                <w:spacing w:val="-2"/>
                <w:kern w:val="0"/>
                <w:szCs w:val="21"/>
              </w:rPr>
            </w:pPr>
          </w:p>
          <w:p>
            <w:pPr>
              <w:autoSpaceDE w:val="0"/>
              <w:autoSpaceDN w:val="0"/>
              <w:spacing w:line="340" w:lineRule="exact"/>
              <w:rPr>
                <w:rFonts w:hint="eastAsia" w:ascii="宋体" w:cs="宋体"/>
                <w:spacing w:val="-2"/>
                <w:kern w:val="0"/>
                <w:szCs w:val="21"/>
              </w:rPr>
            </w:pPr>
          </w:p>
          <w:p>
            <w:pPr>
              <w:autoSpaceDE w:val="0"/>
              <w:autoSpaceDN w:val="0"/>
              <w:spacing w:line="340" w:lineRule="exact"/>
              <w:rPr>
                <w:rFonts w:hint="eastAsia" w:ascii="宋体" w:cs="宋体"/>
                <w:spacing w:val="-2"/>
                <w:kern w:val="0"/>
                <w:szCs w:val="21"/>
              </w:rPr>
            </w:pPr>
          </w:p>
          <w:p>
            <w:pPr>
              <w:autoSpaceDE w:val="0"/>
              <w:autoSpaceDN w:val="0"/>
              <w:spacing w:line="340" w:lineRule="exact"/>
              <w:ind w:firstLine="206" w:firstLineChars="100"/>
              <w:rPr>
                <w:rFonts w:hint="eastAsia" w:ascii="宋体" w:cs="宋体"/>
                <w:spacing w:val="-2"/>
                <w:kern w:val="0"/>
                <w:szCs w:val="21"/>
              </w:rPr>
            </w:pPr>
          </w:p>
          <w:p>
            <w:pPr>
              <w:autoSpaceDE w:val="0"/>
              <w:autoSpaceDN w:val="0"/>
              <w:spacing w:line="340" w:lineRule="exact"/>
              <w:ind w:firstLine="206" w:firstLineChars="100"/>
              <w:rPr>
                <w:rFonts w:hint="eastAsia" w:ascii="宋体" w:cs="宋体"/>
                <w:spacing w:val="-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44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条款号</w:t>
            </w:r>
          </w:p>
        </w:tc>
        <w:tc>
          <w:tcPr>
            <w:tcW w:w="1559" w:type="dxa"/>
            <w:tcBorders>
              <w:top w:val="single" w:color="auto" w:sz="4" w:space="0"/>
              <w:left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条款内容</w:t>
            </w:r>
          </w:p>
        </w:tc>
        <w:tc>
          <w:tcPr>
            <w:tcW w:w="6632" w:type="dxa"/>
            <w:tcBorders>
              <w:top w:val="single" w:color="auto" w:sz="4" w:space="0"/>
              <w:left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 xml:space="preserve">编 列 内 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jc w:val="center"/>
        </w:trPr>
        <w:tc>
          <w:tcPr>
            <w:tcW w:w="144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分值构成</w:t>
            </w:r>
          </w:p>
          <w:p>
            <w:pPr>
              <w:spacing w:line="360" w:lineRule="exact"/>
              <w:jc w:val="center"/>
              <w:rPr>
                <w:rFonts w:ascii="宋体" w:hAnsi="宋体"/>
                <w:szCs w:val="21"/>
              </w:rPr>
            </w:pPr>
            <w:r>
              <w:rPr>
                <w:rFonts w:hint="eastAsia" w:ascii="宋体" w:hAnsi="宋体"/>
                <w:szCs w:val="21"/>
              </w:rPr>
              <w:t>（总分100分）</w:t>
            </w:r>
          </w:p>
        </w:tc>
        <w:tc>
          <w:tcPr>
            <w:tcW w:w="663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10" w:firstLineChars="100"/>
              <w:rPr>
                <w:rFonts w:hint="eastAsia" w:ascii="宋体" w:hAnsi="宋体"/>
                <w:b/>
                <w:szCs w:val="21"/>
              </w:rPr>
            </w:pPr>
            <w:r>
              <w:rPr>
                <w:rFonts w:hint="eastAsia" w:ascii="宋体" w:hAnsi="宋体"/>
                <w:b/>
                <w:szCs w:val="21"/>
              </w:rPr>
              <w:t>第一个信封（商务及技术文件）评分分值构成：</w:t>
            </w:r>
          </w:p>
          <w:p>
            <w:pPr>
              <w:spacing w:line="400" w:lineRule="exact"/>
              <w:ind w:firstLine="210" w:firstLineChars="100"/>
              <w:rPr>
                <w:rFonts w:hint="eastAsia" w:ascii="宋体" w:hAnsi="宋体"/>
                <w:szCs w:val="21"/>
              </w:rPr>
            </w:pPr>
            <w:r>
              <w:rPr>
                <w:rFonts w:hint="eastAsia" w:ascii="宋体" w:hAnsi="宋体"/>
                <w:szCs w:val="21"/>
              </w:rPr>
              <w:t>技术建议书：</w:t>
            </w:r>
            <w:r>
              <w:rPr>
                <w:rFonts w:hint="eastAsia" w:ascii="宋体" w:hAnsi="宋体"/>
                <w:szCs w:val="21"/>
                <w:lang w:val="en-US" w:eastAsia="zh-CN"/>
              </w:rPr>
              <w:t>25</w:t>
            </w:r>
            <w:r>
              <w:rPr>
                <w:rFonts w:hint="eastAsia" w:ascii="宋体" w:hAnsi="宋体"/>
                <w:szCs w:val="21"/>
              </w:rPr>
              <w:t>分</w:t>
            </w:r>
          </w:p>
          <w:p>
            <w:pPr>
              <w:spacing w:line="400" w:lineRule="exact"/>
              <w:ind w:firstLine="210" w:firstLineChars="100"/>
              <w:jc w:val="left"/>
              <w:rPr>
                <w:rFonts w:hint="eastAsia" w:ascii="宋体" w:hAnsi="宋体"/>
                <w:szCs w:val="21"/>
              </w:rPr>
            </w:pPr>
            <w:r>
              <w:rPr>
                <w:rFonts w:hint="eastAsia" w:ascii="宋体" w:hAnsi="宋体"/>
                <w:szCs w:val="21"/>
              </w:rPr>
              <w:t>主要人员：</w:t>
            </w:r>
            <w:r>
              <w:rPr>
                <w:rFonts w:hint="eastAsia" w:ascii="宋体" w:hAnsi="宋体"/>
                <w:szCs w:val="21"/>
                <w:lang w:val="en-US" w:eastAsia="zh-CN"/>
              </w:rPr>
              <w:t>25</w:t>
            </w:r>
            <w:r>
              <w:rPr>
                <w:rFonts w:hint="eastAsia" w:ascii="宋体" w:hAnsi="宋体"/>
                <w:szCs w:val="21"/>
              </w:rPr>
              <w:t>分</w:t>
            </w:r>
          </w:p>
          <w:p>
            <w:pPr>
              <w:spacing w:line="400" w:lineRule="exact"/>
              <w:ind w:firstLine="210" w:firstLineChars="100"/>
              <w:jc w:val="left"/>
              <w:rPr>
                <w:rFonts w:hint="eastAsia" w:ascii="宋体" w:hAnsi="宋体"/>
                <w:szCs w:val="21"/>
              </w:rPr>
            </w:pPr>
            <w:r>
              <w:rPr>
                <w:rFonts w:hint="eastAsia" w:ascii="宋体" w:hAnsi="宋体"/>
                <w:szCs w:val="21"/>
              </w:rPr>
              <w:t>业绩：40分</w:t>
            </w:r>
          </w:p>
          <w:p>
            <w:pPr>
              <w:spacing w:line="400" w:lineRule="exact"/>
              <w:ind w:firstLine="210" w:firstLineChars="100"/>
              <w:rPr>
                <w:rFonts w:hint="eastAsia" w:ascii="宋体" w:hAnsi="宋体"/>
                <w:b/>
                <w:szCs w:val="21"/>
              </w:rPr>
            </w:pPr>
            <w:r>
              <w:rPr>
                <w:rFonts w:hint="eastAsia" w:ascii="宋体" w:hAnsi="宋体"/>
                <w:b/>
                <w:szCs w:val="21"/>
              </w:rPr>
              <w:t>第二个信封（报价文件）评分分值构成：</w:t>
            </w:r>
          </w:p>
          <w:p>
            <w:pPr>
              <w:spacing w:line="400" w:lineRule="exact"/>
              <w:ind w:firstLine="210" w:firstLineChars="100"/>
              <w:jc w:val="left"/>
              <w:rPr>
                <w:rFonts w:hint="eastAsia" w:ascii="宋体"/>
                <w:szCs w:val="21"/>
              </w:rPr>
            </w:pPr>
            <w:r>
              <w:rPr>
                <w:rFonts w:hint="eastAsia" w:ascii="宋体"/>
                <w:szCs w:val="21"/>
              </w:rPr>
              <w:t>评标价：10分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2" w:hRule="atLeast"/>
          <w:jc w:val="center"/>
        </w:trPr>
        <w:tc>
          <w:tcPr>
            <w:tcW w:w="1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2.2.2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评标基准价</w:t>
            </w:r>
          </w:p>
          <w:p>
            <w:pPr>
              <w:spacing w:line="360" w:lineRule="auto"/>
              <w:jc w:val="center"/>
              <w:rPr>
                <w:rFonts w:ascii="宋体" w:hAnsi="宋体"/>
                <w:szCs w:val="21"/>
              </w:rPr>
            </w:pPr>
            <w:r>
              <w:rPr>
                <w:rFonts w:hint="eastAsia" w:ascii="宋体" w:hAnsi="宋体"/>
                <w:szCs w:val="21"/>
              </w:rPr>
              <w:t>计算方法</w:t>
            </w:r>
          </w:p>
        </w:tc>
        <w:tc>
          <w:tcPr>
            <w:tcW w:w="6632" w:type="dxa"/>
            <w:tcBorders>
              <w:top w:val="single" w:color="auto" w:sz="4" w:space="0"/>
              <w:left w:val="single" w:color="auto" w:sz="4" w:space="0"/>
              <w:bottom w:val="single" w:color="auto" w:sz="4" w:space="0"/>
              <w:right w:val="single" w:color="auto" w:sz="4" w:space="0"/>
            </w:tcBorders>
            <w:vAlign w:val="top"/>
          </w:tcPr>
          <w:p>
            <w:pPr>
              <w:spacing w:line="360" w:lineRule="exact"/>
              <w:rPr>
                <w:rFonts w:hint="eastAsia" w:ascii="宋体" w:hAnsi="宋体"/>
                <w:kern w:val="1"/>
                <w:szCs w:val="21"/>
              </w:rPr>
            </w:pPr>
            <w:r>
              <w:rPr>
                <w:rFonts w:ascii="宋体" w:hAnsi="宋体"/>
                <w:kern w:val="1"/>
                <w:szCs w:val="21"/>
              </w:rPr>
              <w:t>评标基准价的确定：</w:t>
            </w:r>
            <w:r>
              <w:rPr>
                <w:rFonts w:hint="eastAsia" w:ascii="宋体" w:hAnsi="宋体"/>
                <w:kern w:val="1"/>
                <w:szCs w:val="21"/>
              </w:rPr>
              <w:t xml:space="preserve"> </w:t>
            </w:r>
          </w:p>
          <w:p>
            <w:pPr>
              <w:spacing w:line="360" w:lineRule="exact"/>
              <w:rPr>
                <w:rFonts w:ascii="宋体" w:hAnsi="宋体"/>
                <w:kern w:val="1"/>
                <w:szCs w:val="21"/>
              </w:rPr>
            </w:pPr>
            <w:r>
              <w:rPr>
                <w:rFonts w:hint="eastAsia" w:ascii="宋体" w:hAnsi="宋体"/>
                <w:kern w:val="1"/>
                <w:szCs w:val="21"/>
              </w:rPr>
              <w:t>1.评标价Di：</w:t>
            </w:r>
          </w:p>
          <w:p>
            <w:pPr>
              <w:spacing w:line="360" w:lineRule="exact"/>
              <w:rPr>
                <w:rFonts w:ascii="宋体" w:hAnsi="宋体"/>
                <w:kern w:val="1"/>
                <w:szCs w:val="21"/>
              </w:rPr>
            </w:pPr>
            <w:r>
              <w:rPr>
                <w:rFonts w:hint="eastAsia" w:ascii="宋体" w:hAnsi="宋体"/>
                <w:kern w:val="1"/>
                <w:szCs w:val="21"/>
              </w:rPr>
              <w:t>Di</w:t>
            </w:r>
            <w:r>
              <w:rPr>
                <w:rFonts w:ascii="宋体" w:hAnsi="宋体"/>
                <w:kern w:val="1"/>
                <w:szCs w:val="21"/>
              </w:rPr>
              <w:t>=</w:t>
            </w:r>
            <w:r>
              <w:rPr>
                <w:rFonts w:hint="eastAsia" w:ascii="宋体" w:hAnsi="宋体"/>
                <w:kern w:val="1"/>
                <w:szCs w:val="21"/>
              </w:rPr>
              <w:t>投标函文字报价</w:t>
            </w:r>
          </w:p>
          <w:p>
            <w:pPr>
              <w:spacing w:line="360" w:lineRule="exact"/>
              <w:rPr>
                <w:rFonts w:hint="eastAsia" w:ascii="宋体" w:hAnsi="宋体"/>
                <w:kern w:val="1"/>
                <w:szCs w:val="21"/>
              </w:rPr>
            </w:pPr>
            <w:r>
              <w:rPr>
                <w:rFonts w:hint="eastAsia" w:ascii="宋体" w:hAnsi="宋体"/>
                <w:kern w:val="1"/>
                <w:szCs w:val="21"/>
              </w:rPr>
              <w:t>有效评标价：通过第一信封评审且投标报价小于最高投标限价的所有投标人的投标报价均视为有效评标价，进入评标基准价计算。（现场废标者不参与评标基准价计算）</w:t>
            </w:r>
          </w:p>
          <w:p>
            <w:pPr>
              <w:spacing w:line="360" w:lineRule="exact"/>
              <w:rPr>
                <w:rFonts w:ascii="宋体" w:hAnsi="宋体"/>
                <w:kern w:val="1"/>
                <w:szCs w:val="21"/>
              </w:rPr>
            </w:pPr>
            <w:r>
              <w:rPr>
                <w:rFonts w:hint="eastAsia" w:ascii="宋体" w:hAnsi="宋体"/>
                <w:kern w:val="1"/>
                <w:szCs w:val="21"/>
              </w:rPr>
              <w:t xml:space="preserve">  3.评标基准价P计算方法 ：</w:t>
            </w:r>
          </w:p>
          <w:p>
            <w:pPr>
              <w:spacing w:line="360" w:lineRule="exact"/>
              <w:rPr>
                <w:rFonts w:hint="eastAsia" w:ascii="宋体" w:hAnsi="宋体"/>
                <w:kern w:val="1"/>
                <w:szCs w:val="21"/>
              </w:rPr>
            </w:pPr>
            <w:r>
              <w:rPr>
                <w:rFonts w:hint="eastAsia" w:ascii="宋体" w:hAnsi="宋体"/>
                <w:kern w:val="1"/>
                <w:szCs w:val="21"/>
              </w:rPr>
              <w:t>评标价去掉n1个最高评标价和n2个最低评标价后平均值直接作为评标基准价P。</w:t>
            </w:r>
          </w:p>
          <w:p>
            <w:pPr>
              <w:spacing w:line="360" w:lineRule="exact"/>
              <w:rPr>
                <w:rFonts w:ascii="宋体" w:hAnsi="宋体"/>
                <w:kern w:val="1"/>
                <w:szCs w:val="21"/>
              </w:rPr>
            </w:pPr>
            <w:r>
              <w:rPr>
                <w:rFonts w:ascii="宋体" w:hAnsi="宋体"/>
                <w:kern w:val="1"/>
                <w:szCs w:val="21"/>
              </w:rPr>
              <w:pict>
                <v:shape id="_x0000_s1106" o:spid="_x0000_s1106" o:spt="75" type="#_x0000_t75" style="position:absolute;left:0pt;margin-left:40.65pt;margin-top:116.25pt;height:35.45pt;width:145.5pt;mso-position-horizontal-relative:page;mso-position-vertical-relative:page;mso-wrap-distance-bottom:0pt;mso-wrap-distance-top:0pt;z-index:251658240;mso-width-relative:page;mso-height-relative:page;" o:ole="t" filled="f" o:preferrelative="t" stroked="f" coordsize="21600,21600">
                  <v:path/>
                  <v:fill on="f" focussize="0,0"/>
                  <v:stroke on="f"/>
                  <v:imagedata r:id="rId5" o:title=""/>
                  <o:lock v:ext="edit" aspectratio="t"/>
                  <w10:wrap type="topAndBottom"/>
                </v:shape>
                <o:OLEObject Type="Embed" ProgID="" ShapeID="_x0000_s1106" DrawAspect="Content" ObjectID="_1468075725" r:id="rId4">
                  <o:LockedField>false</o:LockedField>
                </o:OLEObject>
              </w:pict>
            </w:r>
            <w:r>
              <w:rPr>
                <w:rFonts w:hint="eastAsia" w:ascii="宋体" w:hAnsi="宋体"/>
                <w:kern w:val="1"/>
                <w:szCs w:val="21"/>
              </w:rPr>
              <w:t>式中:N为有效评标价的个数；</w:t>
            </w:r>
          </w:p>
          <w:p>
            <w:pPr>
              <w:spacing w:line="360" w:lineRule="exact"/>
              <w:rPr>
                <w:rFonts w:ascii="宋体" w:hAnsi="宋体"/>
                <w:kern w:val="1"/>
                <w:szCs w:val="21"/>
              </w:rPr>
            </w:pPr>
            <w:r>
              <w:rPr>
                <w:rFonts w:hint="eastAsia" w:ascii="宋体" w:hAnsi="宋体"/>
                <w:kern w:val="1"/>
                <w:szCs w:val="21"/>
              </w:rPr>
              <w:t>n1、n2的取值（下同）：</w:t>
            </w:r>
          </w:p>
          <w:p>
            <w:pPr>
              <w:spacing w:line="360" w:lineRule="exact"/>
              <w:rPr>
                <w:rFonts w:ascii="宋体" w:hAnsi="宋体"/>
                <w:kern w:val="1"/>
                <w:szCs w:val="21"/>
              </w:rPr>
            </w:pPr>
            <w:r>
              <w:rPr>
                <w:rFonts w:hint="eastAsia" w:ascii="宋体" w:hAnsi="宋体"/>
                <w:kern w:val="1"/>
                <w:szCs w:val="21"/>
              </w:rPr>
              <w:t>当N&lt;6时，n1、n2均取0；</w:t>
            </w:r>
          </w:p>
          <w:p>
            <w:pPr>
              <w:spacing w:line="360" w:lineRule="exact"/>
              <w:rPr>
                <w:rFonts w:hint="eastAsia" w:ascii="宋体" w:hAnsi="宋体"/>
                <w:kern w:val="1"/>
                <w:szCs w:val="21"/>
              </w:rPr>
            </w:pPr>
            <w:r>
              <w:rPr>
                <w:rFonts w:hint="eastAsia" w:ascii="宋体" w:hAnsi="宋体"/>
                <w:kern w:val="1"/>
                <w:szCs w:val="21"/>
              </w:rPr>
              <w:t>当N≥6时，n1在取值区间1～M-1中随机抽取（最小为1），n2在取值区间1～M+1中随机抽取， M=N/4，M去尾取整。</w:t>
            </w:r>
          </w:p>
          <w:p>
            <w:pPr>
              <w:spacing w:line="360" w:lineRule="exact"/>
              <w:rPr>
                <w:rFonts w:hint="eastAsia" w:ascii="宋体" w:hAnsi="宋体"/>
                <w:kern w:val="1"/>
                <w:szCs w:val="21"/>
              </w:rPr>
            </w:pPr>
            <w:r>
              <w:rPr>
                <w:rFonts w:hint="eastAsia" w:ascii="宋体" w:hAnsi="宋体"/>
                <w:kern w:val="1"/>
                <w:szCs w:val="21"/>
              </w:rPr>
              <w:t>在评标过程中，评标委员会应对招标人计算的评标基准价进行复核，存在计算错误的应予以修正并在评标报告中作出说明。除此之外，评标基准价在整个评标期间保持不变，不随任何因素发生变化。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7" w:hRule="atLeast"/>
          <w:jc w:val="center"/>
        </w:trPr>
        <w:tc>
          <w:tcPr>
            <w:tcW w:w="1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2.2.3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评标价的偏差率计算公式</w:t>
            </w:r>
          </w:p>
        </w:tc>
        <w:tc>
          <w:tcPr>
            <w:tcW w:w="663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10" w:firstLineChars="100"/>
              <w:jc w:val="left"/>
              <w:rPr>
                <w:rFonts w:hint="eastAsia" w:ascii="宋体" w:hAnsi="宋体"/>
                <w:szCs w:val="21"/>
              </w:rPr>
            </w:pPr>
            <w:r>
              <w:rPr>
                <w:rFonts w:hint="eastAsia" w:ascii="宋体" w:hAnsi="宋体"/>
                <w:szCs w:val="21"/>
              </w:rPr>
              <w:t>偏差率</w:t>
            </w:r>
            <w:r>
              <w:rPr>
                <w:rFonts w:ascii="宋体" w:hAnsi="宋体"/>
                <w:szCs w:val="21"/>
              </w:rPr>
              <w:t>=100</w:t>
            </w:r>
            <w:r>
              <w:rPr>
                <w:rFonts w:hint="eastAsia" w:ascii="宋体" w:hAnsi="宋体"/>
                <w:szCs w:val="21"/>
              </w:rPr>
              <w:t>%×（投标人评标价－评标基准价）/评标基准价</w:t>
            </w:r>
          </w:p>
          <w:p>
            <w:pPr>
              <w:spacing w:line="400" w:lineRule="exact"/>
              <w:ind w:firstLine="210" w:firstLineChars="100"/>
              <w:jc w:val="left"/>
              <w:rPr>
                <w:rFonts w:ascii="宋体" w:hAnsi="宋体"/>
                <w:szCs w:val="21"/>
              </w:rPr>
            </w:pPr>
            <w:r>
              <w:rPr>
                <w:rFonts w:hint="eastAsia" w:ascii="宋体" w:hAnsi="宋体"/>
                <w:szCs w:val="21"/>
              </w:rPr>
              <w:t>偏差率保留</w:t>
            </w:r>
            <w:r>
              <w:rPr>
                <w:rFonts w:hint="eastAsia" w:ascii="宋体" w:hAnsi="宋体"/>
                <w:szCs w:val="21"/>
                <w:u w:val="single"/>
              </w:rPr>
              <w:t>2</w:t>
            </w:r>
            <w:r>
              <w:rPr>
                <w:rFonts w:hint="eastAsia" w:ascii="宋体" w:hAnsi="宋体"/>
                <w:szCs w:val="21"/>
              </w:rPr>
              <w:t>位小数</w:t>
            </w:r>
          </w:p>
        </w:tc>
      </w:tr>
    </w:tbl>
    <w:p>
      <w:pPr>
        <w:jc w:val="center"/>
        <w:rPr>
          <w:rFonts w:ascii="宋体" w:hAnsi="宋体"/>
          <w:b/>
          <w:szCs w:val="21"/>
        </w:rPr>
      </w:pPr>
    </w:p>
    <w:p>
      <w:pPr>
        <w:jc w:val="center"/>
        <w:rPr>
          <w:rFonts w:ascii="宋体" w:hAnsi="宋体"/>
          <w:b/>
          <w:szCs w:val="21"/>
        </w:rPr>
      </w:pPr>
    </w:p>
    <w:p>
      <w:pPr>
        <w:jc w:val="center"/>
        <w:rPr>
          <w:rFonts w:ascii="宋体" w:hAnsi="宋体"/>
          <w:b/>
          <w:szCs w:val="21"/>
        </w:rPr>
      </w:pPr>
    </w:p>
    <w:p>
      <w:pPr>
        <w:jc w:val="center"/>
        <w:rPr>
          <w:rFonts w:ascii="宋体" w:hAnsi="宋体"/>
          <w:b/>
          <w:szCs w:val="21"/>
        </w:rPr>
      </w:pPr>
    </w:p>
    <w:p>
      <w:pPr>
        <w:jc w:val="center"/>
        <w:rPr>
          <w:rFonts w:ascii="宋体" w:hAnsi="宋体"/>
          <w:b/>
          <w:szCs w:val="21"/>
        </w:rPr>
      </w:pPr>
    </w:p>
    <w:tbl>
      <w:tblPr>
        <w:tblStyle w:val="10"/>
        <w:tblpPr w:leftFromText="180" w:rightFromText="180" w:vertAnchor="text" w:horzAnchor="page" w:tblpX="1125" w:tblpY="-185"/>
        <w:tblOverlap w:val="never"/>
        <w:tblW w:w="963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7"/>
        <w:gridCol w:w="1243"/>
        <w:gridCol w:w="895"/>
        <w:gridCol w:w="1929"/>
        <w:gridCol w:w="927"/>
        <w:gridCol w:w="36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027" w:type="dxa"/>
            <w:vMerge w:val="restart"/>
            <w:tcBorders>
              <w:top w:val="single" w:color="auto" w:sz="8" w:space="0"/>
              <w:left w:val="single" w:color="auto" w:sz="8" w:space="0"/>
              <w:right w:val="single" w:color="auto" w:sz="8" w:space="0"/>
            </w:tcBorders>
            <w:vAlign w:val="center"/>
          </w:tcPr>
          <w:p>
            <w:pPr>
              <w:spacing w:line="340" w:lineRule="exact"/>
              <w:jc w:val="center"/>
              <w:rPr>
                <w:rFonts w:ascii="宋体" w:hAnsi="宋体"/>
                <w:b/>
                <w:szCs w:val="21"/>
              </w:rPr>
            </w:pPr>
            <w:r>
              <w:rPr>
                <w:rFonts w:hint="eastAsia" w:ascii="宋体" w:hAnsi="宋体"/>
                <w:b/>
                <w:szCs w:val="21"/>
              </w:rPr>
              <w:t>款号</w:t>
            </w:r>
          </w:p>
        </w:tc>
        <w:tc>
          <w:tcPr>
            <w:tcW w:w="4994" w:type="dxa"/>
            <w:gridSpan w:val="4"/>
            <w:tcBorders>
              <w:top w:val="single" w:color="auto" w:sz="8" w:space="0"/>
              <w:left w:val="single" w:color="auto" w:sz="8" w:space="0"/>
              <w:right w:val="single" w:color="auto" w:sz="8" w:space="0"/>
            </w:tcBorders>
            <w:vAlign w:val="center"/>
          </w:tcPr>
          <w:p>
            <w:pPr>
              <w:spacing w:line="340" w:lineRule="exact"/>
              <w:jc w:val="center"/>
              <w:rPr>
                <w:rFonts w:ascii="宋体" w:hAnsi="宋体"/>
                <w:b/>
                <w:szCs w:val="21"/>
              </w:rPr>
            </w:pPr>
            <w:r>
              <w:rPr>
                <w:rFonts w:hint="eastAsia" w:ascii="宋体" w:hAnsi="宋体"/>
                <w:b/>
                <w:szCs w:val="21"/>
              </w:rPr>
              <w:t>评分因素与权重分值</w:t>
            </w:r>
          </w:p>
        </w:tc>
        <w:tc>
          <w:tcPr>
            <w:tcW w:w="3618" w:type="dxa"/>
            <w:vMerge w:val="restart"/>
            <w:tcBorders>
              <w:top w:val="single" w:color="auto" w:sz="8" w:space="0"/>
              <w:left w:val="single" w:color="auto" w:sz="8" w:space="0"/>
              <w:right w:val="single" w:color="auto" w:sz="8" w:space="0"/>
            </w:tcBorders>
            <w:vAlign w:val="center"/>
          </w:tcPr>
          <w:p>
            <w:pPr>
              <w:spacing w:line="340" w:lineRule="exact"/>
              <w:jc w:val="center"/>
              <w:rPr>
                <w:rFonts w:ascii="宋体" w:hAnsi="宋体"/>
                <w:b/>
                <w:szCs w:val="21"/>
              </w:rPr>
            </w:pPr>
            <w:r>
              <w:rPr>
                <w:rFonts w:hint="eastAsia" w:ascii="宋体" w:hAnsi="宋体"/>
                <w:b/>
                <w:szCs w:val="21"/>
              </w:rPr>
              <w:t>评分标准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027" w:type="dxa"/>
            <w:vMerge w:val="continue"/>
            <w:tcBorders>
              <w:left w:val="single" w:color="auto" w:sz="8" w:space="0"/>
              <w:right w:val="single" w:color="auto" w:sz="8" w:space="0"/>
            </w:tcBorders>
            <w:vAlign w:val="center"/>
          </w:tcPr>
          <w:p>
            <w:pPr>
              <w:spacing w:line="340" w:lineRule="exact"/>
              <w:jc w:val="center"/>
              <w:rPr>
                <w:rFonts w:ascii="宋体" w:hAnsi="宋体"/>
                <w:b/>
                <w:szCs w:val="21"/>
              </w:rPr>
            </w:pPr>
          </w:p>
        </w:tc>
        <w:tc>
          <w:tcPr>
            <w:tcW w:w="1243" w:type="dxa"/>
            <w:tcBorders>
              <w:left w:val="single" w:color="auto" w:sz="8" w:space="0"/>
              <w:right w:val="single" w:color="auto" w:sz="8" w:space="0"/>
            </w:tcBorders>
            <w:vAlign w:val="center"/>
          </w:tcPr>
          <w:p>
            <w:pPr>
              <w:spacing w:line="340" w:lineRule="exact"/>
              <w:jc w:val="center"/>
              <w:rPr>
                <w:rFonts w:ascii="宋体" w:hAnsi="宋体"/>
                <w:b/>
                <w:szCs w:val="21"/>
              </w:rPr>
            </w:pPr>
            <w:r>
              <w:rPr>
                <w:rFonts w:hint="eastAsia" w:ascii="宋体" w:hAnsi="宋体"/>
                <w:b/>
                <w:szCs w:val="21"/>
              </w:rPr>
              <w:t>评分因素</w:t>
            </w:r>
          </w:p>
        </w:tc>
        <w:tc>
          <w:tcPr>
            <w:tcW w:w="895" w:type="dxa"/>
            <w:tcBorders>
              <w:left w:val="single" w:color="auto" w:sz="8" w:space="0"/>
              <w:right w:val="single" w:color="auto" w:sz="8" w:space="0"/>
            </w:tcBorders>
            <w:vAlign w:val="center"/>
          </w:tcPr>
          <w:p>
            <w:pPr>
              <w:spacing w:line="340" w:lineRule="exact"/>
              <w:jc w:val="center"/>
              <w:rPr>
                <w:rFonts w:hint="eastAsia" w:ascii="宋体" w:hAnsi="宋体"/>
                <w:b/>
                <w:szCs w:val="21"/>
              </w:rPr>
            </w:pPr>
            <w:r>
              <w:rPr>
                <w:rFonts w:hint="eastAsia" w:ascii="宋体" w:hAnsi="宋体"/>
                <w:b/>
                <w:szCs w:val="21"/>
              </w:rPr>
              <w:t>评分因素</w:t>
            </w:r>
          </w:p>
          <w:p>
            <w:pPr>
              <w:spacing w:line="340" w:lineRule="exact"/>
              <w:jc w:val="center"/>
              <w:rPr>
                <w:rFonts w:ascii="宋体" w:hAnsi="宋体"/>
                <w:b/>
                <w:szCs w:val="21"/>
              </w:rPr>
            </w:pPr>
            <w:r>
              <w:rPr>
                <w:rFonts w:hint="eastAsia" w:ascii="宋体" w:hAnsi="宋体"/>
                <w:b/>
                <w:szCs w:val="21"/>
              </w:rPr>
              <w:t>权重分值</w:t>
            </w:r>
          </w:p>
        </w:tc>
        <w:tc>
          <w:tcPr>
            <w:tcW w:w="1929" w:type="dxa"/>
            <w:tcBorders>
              <w:left w:val="single" w:color="auto" w:sz="8" w:space="0"/>
              <w:right w:val="single" w:color="auto" w:sz="8" w:space="0"/>
            </w:tcBorders>
            <w:vAlign w:val="center"/>
          </w:tcPr>
          <w:p>
            <w:pPr>
              <w:spacing w:line="340" w:lineRule="exact"/>
              <w:jc w:val="center"/>
              <w:rPr>
                <w:rFonts w:ascii="宋体" w:hAnsi="宋体"/>
                <w:b/>
                <w:szCs w:val="21"/>
              </w:rPr>
            </w:pPr>
            <w:r>
              <w:rPr>
                <w:rFonts w:hint="eastAsia" w:ascii="宋体" w:hAnsi="宋体"/>
                <w:b/>
                <w:szCs w:val="21"/>
              </w:rPr>
              <w:t>各评分因素细分项</w:t>
            </w:r>
          </w:p>
        </w:tc>
        <w:tc>
          <w:tcPr>
            <w:tcW w:w="927" w:type="dxa"/>
            <w:tcBorders>
              <w:left w:val="single" w:color="auto" w:sz="8" w:space="0"/>
              <w:right w:val="single" w:color="auto" w:sz="8" w:space="0"/>
            </w:tcBorders>
            <w:vAlign w:val="center"/>
          </w:tcPr>
          <w:p>
            <w:pPr>
              <w:spacing w:line="340" w:lineRule="exact"/>
              <w:jc w:val="center"/>
              <w:rPr>
                <w:rFonts w:ascii="宋体" w:hAnsi="宋体"/>
                <w:b/>
                <w:szCs w:val="21"/>
              </w:rPr>
            </w:pPr>
            <w:r>
              <w:rPr>
                <w:rFonts w:hint="eastAsia" w:ascii="宋体" w:hAnsi="宋体"/>
                <w:b/>
                <w:szCs w:val="21"/>
              </w:rPr>
              <w:t>分值</w:t>
            </w:r>
          </w:p>
        </w:tc>
        <w:tc>
          <w:tcPr>
            <w:tcW w:w="3618" w:type="dxa"/>
            <w:vMerge w:val="continue"/>
            <w:tcBorders>
              <w:left w:val="single" w:color="auto" w:sz="8" w:space="0"/>
              <w:right w:val="single" w:color="auto" w:sz="8" w:space="0"/>
            </w:tcBorders>
            <w:vAlign w:val="center"/>
          </w:tcPr>
          <w:p>
            <w:pPr>
              <w:spacing w:line="340" w:lineRule="exact"/>
              <w:jc w:val="center"/>
              <w:rPr>
                <w:rFonts w:ascii="宋体" w:hAnsi="宋体"/>
                <w:b/>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8" w:hRule="atLeast"/>
        </w:trPr>
        <w:tc>
          <w:tcPr>
            <w:tcW w:w="1027" w:type="dxa"/>
            <w:vMerge w:val="restart"/>
            <w:tcBorders>
              <w:left w:val="single" w:color="auto" w:sz="8" w:space="0"/>
              <w:right w:val="single" w:color="auto" w:sz="8" w:space="0"/>
            </w:tcBorders>
            <w:vAlign w:val="center"/>
          </w:tcPr>
          <w:p>
            <w:pPr>
              <w:spacing w:line="340" w:lineRule="exact"/>
              <w:jc w:val="center"/>
              <w:rPr>
                <w:rFonts w:ascii="宋体" w:hAnsi="宋体"/>
                <w:szCs w:val="21"/>
              </w:rPr>
            </w:pPr>
            <w:r>
              <w:rPr>
                <w:rFonts w:hint="eastAsia" w:ascii="宋体" w:hAnsi="宋体"/>
                <w:szCs w:val="21"/>
              </w:rPr>
              <w:t>2.2.4（1）</w:t>
            </w:r>
          </w:p>
        </w:tc>
        <w:tc>
          <w:tcPr>
            <w:tcW w:w="1243" w:type="dxa"/>
            <w:vMerge w:val="restart"/>
            <w:tcBorders>
              <w:left w:val="single" w:color="auto" w:sz="8" w:space="0"/>
              <w:right w:val="single" w:color="auto" w:sz="8" w:space="0"/>
            </w:tcBorders>
            <w:vAlign w:val="center"/>
          </w:tcPr>
          <w:p>
            <w:pPr>
              <w:spacing w:line="340" w:lineRule="exact"/>
              <w:jc w:val="center"/>
              <w:rPr>
                <w:rFonts w:hint="eastAsia" w:ascii="宋体" w:hAnsi="宋体"/>
                <w:szCs w:val="21"/>
                <w:lang w:eastAsia="zh-CN"/>
              </w:rPr>
            </w:pPr>
            <w:r>
              <w:rPr>
                <w:rFonts w:hint="eastAsia" w:ascii="宋体" w:hAnsi="宋体"/>
                <w:szCs w:val="21"/>
                <w:lang w:eastAsia="zh-CN"/>
              </w:rPr>
              <w:t>项目</w:t>
            </w:r>
          </w:p>
          <w:p>
            <w:pPr>
              <w:spacing w:line="340" w:lineRule="exact"/>
              <w:jc w:val="center"/>
              <w:rPr>
                <w:rFonts w:hint="eastAsia" w:ascii="宋体" w:hAnsi="宋体" w:eastAsia="宋体"/>
                <w:szCs w:val="21"/>
                <w:lang w:eastAsia="zh-CN"/>
              </w:rPr>
            </w:pPr>
            <w:r>
              <w:rPr>
                <w:rFonts w:hint="eastAsia" w:ascii="宋体" w:hAnsi="宋体"/>
                <w:szCs w:val="21"/>
                <w:lang w:eastAsia="zh-CN"/>
              </w:rPr>
              <w:t>负责人</w:t>
            </w:r>
          </w:p>
        </w:tc>
        <w:tc>
          <w:tcPr>
            <w:tcW w:w="895" w:type="dxa"/>
            <w:vMerge w:val="restart"/>
            <w:tcBorders>
              <w:left w:val="single" w:color="auto" w:sz="8" w:space="0"/>
              <w:right w:val="single" w:color="auto" w:sz="8" w:space="0"/>
            </w:tcBorders>
            <w:vAlign w:val="center"/>
          </w:tcPr>
          <w:p>
            <w:pPr>
              <w:spacing w:line="340" w:lineRule="exact"/>
              <w:jc w:val="center"/>
              <w:rPr>
                <w:rFonts w:ascii="宋体" w:hAnsi="宋体"/>
                <w:szCs w:val="21"/>
              </w:rPr>
            </w:pPr>
            <w:r>
              <w:rPr>
                <w:rFonts w:hint="eastAsia" w:ascii="宋体" w:hAnsi="宋体"/>
                <w:szCs w:val="21"/>
                <w:u w:val="single"/>
                <w:lang w:val="en-US" w:eastAsia="zh-CN"/>
              </w:rPr>
              <w:t>25</w:t>
            </w:r>
            <w:r>
              <w:rPr>
                <w:rFonts w:hint="eastAsia" w:ascii="宋体" w:hAnsi="宋体"/>
                <w:szCs w:val="21"/>
              </w:rPr>
              <w:t>分</w:t>
            </w:r>
          </w:p>
        </w:tc>
        <w:tc>
          <w:tcPr>
            <w:tcW w:w="1929" w:type="dxa"/>
            <w:vMerge w:val="restart"/>
            <w:tcBorders>
              <w:left w:val="single" w:color="auto" w:sz="8" w:space="0"/>
              <w:right w:val="single" w:color="auto" w:sz="8" w:space="0"/>
            </w:tcBorders>
            <w:vAlign w:val="center"/>
          </w:tcPr>
          <w:p>
            <w:pPr>
              <w:spacing w:line="340" w:lineRule="exact"/>
              <w:rPr>
                <w:rFonts w:ascii="宋体" w:hAnsi="宋体"/>
                <w:szCs w:val="21"/>
              </w:rPr>
            </w:pPr>
            <w:r>
              <w:rPr>
                <w:rFonts w:hint="eastAsia" w:ascii="宋体" w:hAnsi="宋体"/>
                <w:szCs w:val="21"/>
              </w:rPr>
              <w:t>项目负责人任职资格与业绩</w:t>
            </w:r>
          </w:p>
        </w:tc>
        <w:tc>
          <w:tcPr>
            <w:tcW w:w="927" w:type="dxa"/>
            <w:vMerge w:val="restart"/>
            <w:tcBorders>
              <w:left w:val="single" w:color="auto" w:sz="8" w:space="0"/>
              <w:right w:val="single" w:color="auto" w:sz="8" w:space="0"/>
            </w:tcBorders>
            <w:vAlign w:val="center"/>
          </w:tcPr>
          <w:p>
            <w:pPr>
              <w:spacing w:line="340" w:lineRule="exact"/>
              <w:jc w:val="center"/>
              <w:rPr>
                <w:rFonts w:ascii="宋体" w:hAnsi="宋体"/>
                <w:szCs w:val="21"/>
              </w:rPr>
            </w:pPr>
            <w:r>
              <w:rPr>
                <w:rFonts w:hint="eastAsia" w:ascii="宋体" w:hAnsi="宋体"/>
                <w:szCs w:val="21"/>
                <w:lang w:val="en-US" w:eastAsia="zh-CN"/>
              </w:rPr>
              <w:t>25</w:t>
            </w:r>
            <w:r>
              <w:rPr>
                <w:rFonts w:hint="eastAsia" w:ascii="宋体" w:hAnsi="宋体"/>
                <w:szCs w:val="21"/>
              </w:rPr>
              <w:t>分</w:t>
            </w:r>
          </w:p>
        </w:tc>
        <w:tc>
          <w:tcPr>
            <w:tcW w:w="3618" w:type="dxa"/>
            <w:tcBorders>
              <w:left w:val="single" w:color="auto" w:sz="8" w:space="0"/>
              <w:right w:val="single" w:color="auto" w:sz="8" w:space="0"/>
            </w:tcBorders>
            <w:vAlign w:val="center"/>
          </w:tcPr>
          <w:p>
            <w:pPr>
              <w:spacing w:line="280" w:lineRule="exact"/>
              <w:jc w:val="left"/>
              <w:rPr>
                <w:rFonts w:hint="eastAsia" w:ascii="宋体" w:hAnsi="宋体"/>
                <w:sz w:val="18"/>
                <w:szCs w:val="18"/>
              </w:rPr>
            </w:pPr>
            <w:r>
              <w:rPr>
                <w:rFonts w:hint="eastAsia" w:ascii="宋体" w:hAnsi="宋体"/>
                <w:sz w:val="18"/>
                <w:szCs w:val="18"/>
              </w:rPr>
              <w:t>满足附录4人员最低要求得</w:t>
            </w:r>
            <w:r>
              <w:rPr>
                <w:rFonts w:hint="eastAsia" w:ascii="宋体" w:hAnsi="宋体"/>
                <w:sz w:val="18"/>
                <w:szCs w:val="18"/>
                <w:lang w:val="en-US" w:eastAsia="zh-CN"/>
              </w:rPr>
              <w:t>15</w:t>
            </w:r>
            <w:r>
              <w:rPr>
                <w:rFonts w:hint="eastAsia" w:ascii="宋体" w:hAnsi="宋体"/>
                <w:sz w:val="18"/>
                <w:szCs w:val="18"/>
              </w:rPr>
              <w:t>分；</w:t>
            </w:r>
          </w:p>
          <w:p>
            <w:pPr>
              <w:spacing w:line="340" w:lineRule="exact"/>
              <w:jc w:val="center"/>
              <w:rPr>
                <w:rFonts w:ascii="宋体" w:hAnsi="宋体"/>
                <w:b/>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64" w:hRule="atLeast"/>
        </w:trPr>
        <w:tc>
          <w:tcPr>
            <w:tcW w:w="1027" w:type="dxa"/>
            <w:vMerge w:val="continue"/>
            <w:tcBorders>
              <w:left w:val="single" w:color="auto" w:sz="8" w:space="0"/>
              <w:right w:val="single" w:color="auto" w:sz="8" w:space="0"/>
            </w:tcBorders>
            <w:vAlign w:val="center"/>
          </w:tcPr>
          <w:p>
            <w:pPr>
              <w:spacing w:line="340" w:lineRule="exact"/>
              <w:jc w:val="center"/>
              <w:rPr>
                <w:rFonts w:ascii="宋体" w:hAnsi="宋体"/>
                <w:szCs w:val="21"/>
              </w:rPr>
            </w:pPr>
          </w:p>
        </w:tc>
        <w:tc>
          <w:tcPr>
            <w:tcW w:w="1243" w:type="dxa"/>
            <w:vMerge w:val="continue"/>
            <w:tcBorders>
              <w:left w:val="single" w:color="auto" w:sz="8" w:space="0"/>
              <w:right w:val="single" w:color="auto" w:sz="8" w:space="0"/>
            </w:tcBorders>
            <w:vAlign w:val="center"/>
          </w:tcPr>
          <w:p>
            <w:pPr>
              <w:spacing w:line="340" w:lineRule="exact"/>
              <w:jc w:val="center"/>
              <w:rPr>
                <w:rFonts w:ascii="宋体" w:hAnsi="宋体"/>
                <w:szCs w:val="21"/>
              </w:rPr>
            </w:pPr>
          </w:p>
        </w:tc>
        <w:tc>
          <w:tcPr>
            <w:tcW w:w="895" w:type="dxa"/>
            <w:vMerge w:val="continue"/>
            <w:tcBorders>
              <w:left w:val="single" w:color="auto" w:sz="8" w:space="0"/>
              <w:right w:val="single" w:color="auto" w:sz="8" w:space="0"/>
            </w:tcBorders>
            <w:vAlign w:val="center"/>
          </w:tcPr>
          <w:p>
            <w:pPr>
              <w:spacing w:line="340" w:lineRule="exact"/>
              <w:jc w:val="center"/>
              <w:rPr>
                <w:rFonts w:ascii="宋体" w:hAnsi="宋体"/>
                <w:szCs w:val="21"/>
              </w:rPr>
            </w:pPr>
          </w:p>
        </w:tc>
        <w:tc>
          <w:tcPr>
            <w:tcW w:w="1929" w:type="dxa"/>
            <w:vMerge w:val="continue"/>
            <w:tcBorders>
              <w:left w:val="single" w:color="auto" w:sz="8" w:space="0"/>
              <w:right w:val="single" w:color="auto" w:sz="8" w:space="0"/>
            </w:tcBorders>
            <w:vAlign w:val="center"/>
          </w:tcPr>
          <w:p>
            <w:pPr>
              <w:spacing w:line="340" w:lineRule="exact"/>
              <w:rPr>
                <w:rFonts w:ascii="宋体" w:hAnsi="宋体"/>
                <w:szCs w:val="21"/>
              </w:rPr>
            </w:pPr>
          </w:p>
        </w:tc>
        <w:tc>
          <w:tcPr>
            <w:tcW w:w="927" w:type="dxa"/>
            <w:vMerge w:val="continue"/>
            <w:tcBorders>
              <w:left w:val="single" w:color="auto" w:sz="8" w:space="0"/>
              <w:right w:val="single" w:color="auto" w:sz="8" w:space="0"/>
            </w:tcBorders>
            <w:vAlign w:val="center"/>
          </w:tcPr>
          <w:p>
            <w:pPr>
              <w:spacing w:line="340" w:lineRule="exact"/>
              <w:jc w:val="center"/>
              <w:rPr>
                <w:rFonts w:ascii="宋体" w:hAnsi="宋体"/>
                <w:szCs w:val="21"/>
              </w:rPr>
            </w:pPr>
          </w:p>
        </w:tc>
        <w:tc>
          <w:tcPr>
            <w:tcW w:w="3618" w:type="dxa"/>
            <w:tcBorders>
              <w:left w:val="single" w:color="auto" w:sz="4" w:space="0"/>
              <w:right w:val="single" w:color="auto" w:sz="8" w:space="0"/>
            </w:tcBorders>
            <w:vAlign w:val="center"/>
          </w:tcPr>
          <w:p>
            <w:pPr>
              <w:spacing w:line="280" w:lineRule="exact"/>
              <w:jc w:val="left"/>
              <w:rPr>
                <w:rFonts w:hint="eastAsia" w:ascii="宋体" w:hAnsi="宋体"/>
                <w:sz w:val="18"/>
                <w:szCs w:val="18"/>
              </w:rPr>
            </w:pPr>
            <w:r>
              <w:rPr>
                <w:rFonts w:hint="eastAsia" w:ascii="宋体" w:hAnsi="宋体"/>
                <w:sz w:val="18"/>
                <w:szCs w:val="18"/>
                <w:lang w:val="en-US" w:eastAsia="zh-CN"/>
              </w:rPr>
              <w:t>1、</w:t>
            </w:r>
            <w:r>
              <w:rPr>
                <w:rFonts w:hint="eastAsia" w:ascii="宋体" w:hAnsi="宋体"/>
                <w:sz w:val="18"/>
                <w:szCs w:val="18"/>
              </w:rPr>
              <w:t>高级及以上技术职称加</w:t>
            </w:r>
            <w:r>
              <w:rPr>
                <w:rFonts w:hint="eastAsia" w:ascii="宋体" w:hAnsi="宋体"/>
                <w:sz w:val="18"/>
                <w:szCs w:val="18"/>
                <w:lang w:val="en-US" w:eastAsia="zh-CN"/>
              </w:rPr>
              <w:t>1</w:t>
            </w:r>
            <w:r>
              <w:rPr>
                <w:rFonts w:hint="eastAsia" w:ascii="宋体" w:hAnsi="宋体"/>
                <w:sz w:val="18"/>
                <w:szCs w:val="18"/>
              </w:rPr>
              <w:t>分；</w:t>
            </w:r>
          </w:p>
          <w:p>
            <w:pPr>
              <w:spacing w:line="280" w:lineRule="exact"/>
              <w:jc w:val="left"/>
              <w:rPr>
                <w:rFonts w:hint="eastAsia" w:ascii="宋体" w:hAnsi="宋体"/>
                <w:sz w:val="18"/>
                <w:szCs w:val="18"/>
              </w:rPr>
            </w:pPr>
            <w:r>
              <w:rPr>
                <w:rFonts w:hint="eastAsia" w:ascii="宋体" w:hAnsi="宋体"/>
                <w:sz w:val="18"/>
                <w:szCs w:val="18"/>
                <w:lang w:val="en-US" w:eastAsia="zh-CN"/>
              </w:rPr>
              <w:t>2、</w:t>
            </w:r>
            <w:r>
              <w:rPr>
                <w:rFonts w:hint="eastAsia" w:ascii="宋体" w:hAnsi="宋体"/>
                <w:sz w:val="18"/>
                <w:szCs w:val="18"/>
              </w:rPr>
              <w:t>近3年（</w:t>
            </w:r>
            <w:r>
              <w:rPr>
                <w:rFonts w:hint="eastAsia" w:ascii="宋体" w:hAnsi="宋体"/>
                <w:sz w:val="18"/>
                <w:szCs w:val="18"/>
                <w:lang w:eastAsia="zh-CN"/>
              </w:rPr>
              <w:t>2016年4月30日至2019年4月30日</w:t>
            </w:r>
            <w:r>
              <w:rPr>
                <w:rFonts w:hint="eastAsia" w:ascii="宋体" w:hAnsi="宋体"/>
                <w:sz w:val="18"/>
                <w:szCs w:val="18"/>
              </w:rPr>
              <w:t>）</w:t>
            </w:r>
            <w:r>
              <w:rPr>
                <w:rFonts w:hint="eastAsia" w:ascii="宋体" w:hAnsi="宋体"/>
                <w:sz w:val="18"/>
                <w:szCs w:val="18"/>
                <w:lang w:eastAsia="zh-CN"/>
              </w:rPr>
              <w:t>高于资格审查最低要求每增加</w:t>
            </w:r>
            <w:r>
              <w:rPr>
                <w:rFonts w:hint="eastAsia" w:ascii="宋体" w:hAnsi="宋体"/>
                <w:sz w:val="18"/>
                <w:szCs w:val="18"/>
              </w:rPr>
              <w:t>一个项目</w:t>
            </w:r>
            <w:r>
              <w:rPr>
                <w:rFonts w:hint="eastAsia" w:ascii="宋体" w:hAnsi="宋体"/>
                <w:sz w:val="18"/>
                <w:szCs w:val="18"/>
                <w:lang w:eastAsia="zh-CN"/>
              </w:rPr>
              <w:t>咨询服务</w:t>
            </w:r>
            <w:r>
              <w:rPr>
                <w:rFonts w:hint="eastAsia" w:ascii="宋体" w:hAnsi="宋体"/>
                <w:sz w:val="18"/>
                <w:szCs w:val="18"/>
              </w:rPr>
              <w:t>业绩得</w:t>
            </w:r>
            <w:r>
              <w:rPr>
                <w:rFonts w:hint="eastAsia" w:ascii="宋体" w:hAnsi="宋体"/>
                <w:sz w:val="18"/>
                <w:szCs w:val="18"/>
                <w:lang w:val="en-US" w:eastAsia="zh-CN"/>
              </w:rPr>
              <w:t>0.5</w:t>
            </w:r>
            <w:r>
              <w:rPr>
                <w:rFonts w:hint="eastAsia" w:ascii="宋体" w:hAnsi="宋体"/>
                <w:sz w:val="18"/>
                <w:szCs w:val="18"/>
              </w:rPr>
              <w:t>分，最高得</w:t>
            </w:r>
            <w:r>
              <w:rPr>
                <w:rFonts w:hint="eastAsia" w:ascii="宋体" w:hAnsi="宋体"/>
                <w:sz w:val="18"/>
                <w:szCs w:val="18"/>
                <w:lang w:val="en-US" w:eastAsia="zh-CN"/>
              </w:rPr>
              <w:t>3</w:t>
            </w:r>
            <w:r>
              <w:rPr>
                <w:rFonts w:hint="eastAsia" w:ascii="宋体" w:hAnsi="宋体"/>
                <w:sz w:val="18"/>
                <w:szCs w:val="18"/>
              </w:rPr>
              <w:t>分；</w:t>
            </w:r>
          </w:p>
          <w:p>
            <w:pPr>
              <w:spacing w:line="280" w:lineRule="exact"/>
              <w:jc w:val="left"/>
              <w:rPr>
                <w:rFonts w:hint="eastAsia" w:ascii="宋体" w:hAnsi="宋体"/>
                <w:sz w:val="18"/>
                <w:szCs w:val="18"/>
              </w:rPr>
            </w:pPr>
            <w:r>
              <w:rPr>
                <w:rFonts w:hint="eastAsia" w:ascii="宋体" w:hAnsi="宋体"/>
                <w:sz w:val="18"/>
                <w:szCs w:val="18"/>
                <w:lang w:val="en-US" w:eastAsia="zh-CN"/>
              </w:rPr>
              <w:t>3、</w:t>
            </w:r>
            <w:r>
              <w:rPr>
                <w:rFonts w:hint="eastAsia" w:ascii="宋体" w:hAnsi="宋体"/>
                <w:sz w:val="18"/>
                <w:szCs w:val="18"/>
              </w:rPr>
              <w:t>近3年（</w:t>
            </w:r>
            <w:r>
              <w:rPr>
                <w:rFonts w:hint="eastAsia" w:ascii="宋体" w:hAnsi="宋体"/>
                <w:sz w:val="18"/>
                <w:szCs w:val="18"/>
                <w:lang w:eastAsia="zh-CN"/>
              </w:rPr>
              <w:t>2016年4月30日至2019年4月30日</w:t>
            </w:r>
            <w:r>
              <w:rPr>
                <w:rFonts w:hint="eastAsia" w:ascii="宋体" w:hAnsi="宋体"/>
                <w:sz w:val="18"/>
                <w:szCs w:val="18"/>
              </w:rPr>
              <w:t>）每</w:t>
            </w:r>
            <w:r>
              <w:rPr>
                <w:rFonts w:hint="eastAsia" w:ascii="宋体" w:hAnsi="宋体"/>
                <w:sz w:val="18"/>
                <w:szCs w:val="18"/>
                <w:lang w:eastAsia="zh-CN"/>
              </w:rPr>
              <w:t>完成过一条高速公路</w:t>
            </w:r>
            <w:r>
              <w:rPr>
                <w:rFonts w:hint="eastAsia" w:ascii="宋体" w:hAnsi="宋体"/>
                <w:sz w:val="18"/>
                <w:szCs w:val="18"/>
                <w:lang w:val="en-US" w:eastAsia="zh-CN"/>
              </w:rPr>
              <w:t>PPP</w:t>
            </w:r>
            <w:r>
              <w:rPr>
                <w:rFonts w:hint="eastAsia" w:ascii="宋体" w:hAnsi="宋体"/>
                <w:sz w:val="18"/>
                <w:szCs w:val="18"/>
              </w:rPr>
              <w:t>项目</w:t>
            </w:r>
            <w:r>
              <w:rPr>
                <w:rFonts w:hint="eastAsia" w:ascii="宋体" w:hAnsi="宋体"/>
                <w:sz w:val="18"/>
                <w:szCs w:val="18"/>
                <w:lang w:eastAsia="zh-CN"/>
              </w:rPr>
              <w:t>咨询服务业绩</w:t>
            </w:r>
            <w:r>
              <w:rPr>
                <w:rFonts w:hint="eastAsia" w:ascii="宋体" w:hAnsi="宋体"/>
                <w:sz w:val="18"/>
                <w:szCs w:val="18"/>
              </w:rPr>
              <w:t>（与前述业绩不得重复）得</w:t>
            </w:r>
            <w:r>
              <w:rPr>
                <w:rFonts w:hint="eastAsia" w:ascii="宋体" w:hAnsi="宋体"/>
                <w:sz w:val="18"/>
                <w:szCs w:val="18"/>
                <w:lang w:val="en-US" w:eastAsia="zh-CN"/>
              </w:rPr>
              <w:t>1</w:t>
            </w:r>
            <w:r>
              <w:rPr>
                <w:rFonts w:hint="eastAsia" w:ascii="宋体" w:hAnsi="宋体"/>
                <w:sz w:val="18"/>
                <w:szCs w:val="18"/>
              </w:rPr>
              <w:t>分，最高得</w:t>
            </w:r>
            <w:r>
              <w:rPr>
                <w:rFonts w:hint="eastAsia" w:ascii="宋体" w:hAnsi="宋体"/>
                <w:sz w:val="18"/>
                <w:szCs w:val="18"/>
                <w:lang w:val="en-US" w:eastAsia="zh-CN"/>
              </w:rPr>
              <w:t>3</w:t>
            </w:r>
            <w:r>
              <w:rPr>
                <w:rFonts w:hint="eastAsia" w:ascii="宋体" w:hAnsi="宋体"/>
                <w:sz w:val="18"/>
                <w:szCs w:val="18"/>
              </w:rPr>
              <w:t>分。</w:t>
            </w:r>
          </w:p>
          <w:p>
            <w:pPr>
              <w:spacing w:line="280" w:lineRule="exact"/>
              <w:jc w:val="left"/>
              <w:rPr>
                <w:rFonts w:hint="eastAsia" w:ascii="宋体" w:hAnsi="宋体"/>
                <w:sz w:val="18"/>
                <w:szCs w:val="18"/>
              </w:rPr>
            </w:pPr>
            <w:r>
              <w:rPr>
                <w:rFonts w:hint="eastAsia" w:ascii="宋体" w:hAnsi="宋体"/>
                <w:sz w:val="18"/>
                <w:szCs w:val="18"/>
                <w:lang w:val="en-US" w:eastAsia="zh-CN"/>
              </w:rPr>
              <w:t>4、</w:t>
            </w:r>
            <w:r>
              <w:rPr>
                <w:rFonts w:hint="eastAsia" w:ascii="宋体" w:hAnsi="宋体"/>
                <w:sz w:val="18"/>
                <w:szCs w:val="18"/>
              </w:rPr>
              <w:t>近3年（</w:t>
            </w:r>
            <w:r>
              <w:rPr>
                <w:rFonts w:hint="eastAsia" w:ascii="宋体" w:hAnsi="宋体"/>
                <w:sz w:val="18"/>
                <w:szCs w:val="18"/>
                <w:lang w:eastAsia="zh-CN"/>
              </w:rPr>
              <w:t>2016年4月30日至2019年4月30日</w:t>
            </w:r>
            <w:r>
              <w:rPr>
                <w:rFonts w:hint="eastAsia" w:ascii="宋体" w:hAnsi="宋体"/>
                <w:sz w:val="18"/>
                <w:szCs w:val="18"/>
              </w:rPr>
              <w:t>）每有一个国家级（财政部）</w:t>
            </w:r>
            <w:r>
              <w:rPr>
                <w:rFonts w:hint="eastAsia" w:ascii="宋体" w:hAnsi="宋体"/>
                <w:sz w:val="18"/>
                <w:szCs w:val="18"/>
                <w:lang w:val="en-US" w:eastAsia="zh-CN"/>
              </w:rPr>
              <w:t>PPP</w:t>
            </w:r>
            <w:r>
              <w:rPr>
                <w:rFonts w:hint="eastAsia" w:ascii="宋体" w:hAnsi="宋体"/>
                <w:sz w:val="18"/>
                <w:szCs w:val="18"/>
              </w:rPr>
              <w:t>示范项目（与前述</w:t>
            </w:r>
            <w:r>
              <w:rPr>
                <w:rFonts w:hint="eastAsia" w:ascii="宋体" w:hAnsi="宋体"/>
                <w:sz w:val="18"/>
                <w:szCs w:val="18"/>
                <w:lang w:eastAsia="zh-CN"/>
              </w:rPr>
              <w:t>两项</w:t>
            </w:r>
            <w:r>
              <w:rPr>
                <w:rFonts w:hint="eastAsia" w:ascii="宋体" w:hAnsi="宋体"/>
                <w:sz w:val="18"/>
                <w:szCs w:val="18"/>
              </w:rPr>
              <w:t>业绩</w:t>
            </w:r>
            <w:r>
              <w:rPr>
                <w:rFonts w:hint="eastAsia" w:ascii="宋体" w:hAnsi="宋体"/>
                <w:sz w:val="18"/>
                <w:szCs w:val="18"/>
                <w:lang w:eastAsia="zh-CN"/>
              </w:rPr>
              <w:t>可以</w:t>
            </w:r>
            <w:r>
              <w:rPr>
                <w:rFonts w:hint="eastAsia" w:ascii="宋体" w:hAnsi="宋体"/>
                <w:sz w:val="18"/>
                <w:szCs w:val="18"/>
              </w:rPr>
              <w:t>重复）得1分，最高得</w:t>
            </w:r>
            <w:r>
              <w:rPr>
                <w:rFonts w:hint="eastAsia" w:ascii="宋体" w:hAnsi="宋体"/>
                <w:sz w:val="18"/>
                <w:szCs w:val="18"/>
                <w:lang w:val="en-US" w:eastAsia="zh-CN"/>
              </w:rPr>
              <w:t>3</w:t>
            </w:r>
            <w:r>
              <w:rPr>
                <w:rFonts w:hint="eastAsia" w:ascii="宋体" w:hAnsi="宋体"/>
                <w:sz w:val="18"/>
                <w:szCs w:val="18"/>
              </w:rPr>
              <w:t>分。</w:t>
            </w:r>
          </w:p>
          <w:p>
            <w:pPr>
              <w:spacing w:line="280" w:lineRule="exact"/>
              <w:jc w:val="left"/>
              <w:rPr>
                <w:rFonts w:hint="eastAsia" w:ascii="宋体" w:hAnsi="宋体"/>
                <w:sz w:val="18"/>
                <w:szCs w:val="18"/>
              </w:rPr>
            </w:pPr>
            <w:r>
              <w:rPr>
                <w:rFonts w:hint="eastAsia" w:ascii="宋体" w:hAnsi="宋体"/>
                <w:sz w:val="18"/>
                <w:szCs w:val="18"/>
                <w:lang w:eastAsia="zh-CN"/>
              </w:rPr>
              <w:t>以上</w:t>
            </w:r>
            <w:r>
              <w:rPr>
                <w:rFonts w:hint="eastAsia" w:ascii="宋体" w:hAnsi="宋体"/>
                <w:sz w:val="18"/>
                <w:szCs w:val="18"/>
              </w:rPr>
              <w:t>业绩</w:t>
            </w:r>
            <w:r>
              <w:rPr>
                <w:rFonts w:hint="eastAsia" w:ascii="宋体" w:hAnsi="宋体"/>
                <w:sz w:val="18"/>
                <w:szCs w:val="18"/>
                <w:lang w:val="en-US" w:eastAsia="zh-CN"/>
              </w:rPr>
              <w:t>必须在</w:t>
            </w:r>
            <w:r>
              <w:rPr>
                <w:rFonts w:hint="eastAsia" w:ascii="宋体" w:hAnsi="宋体"/>
                <w:sz w:val="18"/>
                <w:szCs w:val="18"/>
              </w:rPr>
              <w:t>（</w:t>
            </w:r>
            <w:r>
              <w:rPr>
                <w:rFonts w:hint="eastAsia" w:ascii="宋体" w:hAnsi="宋体"/>
                <w:sz w:val="18"/>
                <w:szCs w:val="18"/>
                <w:lang w:eastAsia="zh-CN"/>
              </w:rPr>
              <w:t>2016年4月30日至2019年4月30日</w:t>
            </w:r>
            <w:r>
              <w:rPr>
                <w:rFonts w:hint="eastAsia" w:ascii="宋体" w:hAnsi="宋体"/>
                <w:sz w:val="18"/>
                <w:szCs w:val="18"/>
              </w:rPr>
              <w:t>）</w:t>
            </w:r>
            <w:r>
              <w:rPr>
                <w:rFonts w:hint="eastAsia" w:ascii="宋体" w:hAnsi="宋体"/>
                <w:sz w:val="18"/>
                <w:szCs w:val="18"/>
                <w:lang w:val="en-US" w:eastAsia="zh-CN"/>
              </w:rPr>
              <w:t>有效期间内完成PPP项目社会投资人招标以及发放社会投资人中标通知书时间作为有效评审业绩。同时要附有签署的咨询服务合同（附首页、签字盖章和签署时间页）、PPP项目社会投资人招标结果公示截图彩色扫描件、社会投资人中标通知书彩色扫描件</w:t>
            </w:r>
            <w:r>
              <w:rPr>
                <w:rFonts w:hint="eastAsia" w:ascii="宋体" w:hAnsi="宋体"/>
                <w:sz w:val="18"/>
                <w:szCs w:val="18"/>
                <w:lang w:eastAsia="zh-CN"/>
              </w:rPr>
              <w:t>、</w:t>
            </w:r>
            <w:r>
              <w:rPr>
                <w:rFonts w:hint="eastAsia" w:ascii="宋体" w:hAnsi="宋体"/>
                <w:sz w:val="18"/>
                <w:szCs w:val="18"/>
              </w:rPr>
              <w:t>财政部网站关于PPP示范项目的公示截图及网址链接或者相关文件</w:t>
            </w:r>
            <w:r>
              <w:rPr>
                <w:rFonts w:hint="eastAsia" w:ascii="宋体" w:hAnsi="宋体"/>
                <w:sz w:val="18"/>
                <w:szCs w:val="18"/>
                <w:lang w:eastAsia="zh-CN"/>
              </w:rPr>
              <w:t>，并</w:t>
            </w:r>
            <w:r>
              <w:rPr>
                <w:rFonts w:hint="eastAsia" w:ascii="宋体" w:hAnsi="宋体"/>
                <w:sz w:val="18"/>
                <w:szCs w:val="18"/>
              </w:rPr>
              <w:t>提供项目负责人的业绩证明文件。</w:t>
            </w:r>
            <w:r>
              <w:rPr>
                <w:rFonts w:hint="eastAsia" w:ascii="宋体" w:hAnsi="宋体"/>
                <w:sz w:val="18"/>
                <w:szCs w:val="18"/>
                <w:lang w:eastAsia="zh-CN"/>
              </w:rPr>
              <w:t>如未提供以上相关评审资料，评审时将不予评审加分。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6" w:hRule="atLeast"/>
        </w:trPr>
        <w:tc>
          <w:tcPr>
            <w:tcW w:w="1027" w:type="dxa"/>
            <w:vMerge w:val="restart"/>
            <w:tcBorders>
              <w:left w:val="single" w:color="auto" w:sz="8" w:space="0"/>
              <w:right w:val="single" w:color="auto" w:sz="8" w:space="0"/>
            </w:tcBorders>
            <w:vAlign w:val="center"/>
          </w:tcPr>
          <w:p>
            <w:pPr>
              <w:spacing w:line="340" w:lineRule="exact"/>
              <w:jc w:val="center"/>
              <w:rPr>
                <w:rFonts w:ascii="宋体" w:hAnsi="宋体"/>
                <w:szCs w:val="21"/>
              </w:rPr>
            </w:pPr>
            <w:r>
              <w:rPr>
                <w:rFonts w:hint="eastAsia" w:ascii="宋体" w:hAnsi="宋体"/>
                <w:szCs w:val="21"/>
              </w:rPr>
              <w:t>2.2.4（2）</w:t>
            </w:r>
          </w:p>
        </w:tc>
        <w:tc>
          <w:tcPr>
            <w:tcW w:w="1243" w:type="dxa"/>
            <w:vMerge w:val="restart"/>
            <w:tcBorders>
              <w:left w:val="single" w:color="auto" w:sz="8" w:space="0"/>
              <w:right w:val="single" w:color="auto" w:sz="8" w:space="0"/>
            </w:tcBorders>
            <w:tcMar>
              <w:left w:w="57" w:type="dxa"/>
              <w:right w:w="57" w:type="dxa"/>
            </w:tcMar>
            <w:vAlign w:val="center"/>
          </w:tcPr>
          <w:p>
            <w:pPr>
              <w:spacing w:line="340" w:lineRule="exact"/>
              <w:jc w:val="center"/>
              <w:rPr>
                <w:rFonts w:hint="eastAsia" w:ascii="宋体" w:hAnsi="宋体"/>
                <w:szCs w:val="21"/>
              </w:rPr>
            </w:pPr>
            <w:r>
              <w:rPr>
                <w:rFonts w:hint="eastAsia" w:ascii="宋体" w:hAnsi="宋体"/>
                <w:szCs w:val="21"/>
              </w:rPr>
              <w:t>业绩</w:t>
            </w:r>
          </w:p>
        </w:tc>
        <w:tc>
          <w:tcPr>
            <w:tcW w:w="895" w:type="dxa"/>
            <w:vMerge w:val="restart"/>
            <w:tcBorders>
              <w:left w:val="single" w:color="auto" w:sz="8" w:space="0"/>
              <w:right w:val="single" w:color="auto" w:sz="8" w:space="0"/>
            </w:tcBorders>
            <w:vAlign w:val="center"/>
          </w:tcPr>
          <w:p>
            <w:pPr>
              <w:spacing w:line="340" w:lineRule="exact"/>
              <w:jc w:val="center"/>
              <w:rPr>
                <w:rFonts w:ascii="宋体" w:hAnsi="宋体"/>
                <w:szCs w:val="21"/>
              </w:rPr>
            </w:pPr>
            <w:r>
              <w:rPr>
                <w:rFonts w:hint="eastAsia" w:ascii="宋体" w:hAnsi="宋体"/>
                <w:szCs w:val="21"/>
                <w:u w:val="single"/>
              </w:rPr>
              <w:t>40</w:t>
            </w:r>
            <w:r>
              <w:rPr>
                <w:rFonts w:hint="eastAsia" w:ascii="宋体" w:hAnsi="宋体"/>
                <w:szCs w:val="21"/>
              </w:rPr>
              <w:t>分</w:t>
            </w:r>
          </w:p>
        </w:tc>
        <w:tc>
          <w:tcPr>
            <w:tcW w:w="1929" w:type="dxa"/>
            <w:vMerge w:val="restart"/>
            <w:tcBorders>
              <w:left w:val="single" w:color="auto" w:sz="8" w:space="0"/>
              <w:right w:val="single" w:color="auto" w:sz="8" w:space="0"/>
            </w:tcBorders>
            <w:vAlign w:val="center"/>
          </w:tcPr>
          <w:p>
            <w:pPr>
              <w:spacing w:line="340" w:lineRule="exact"/>
              <w:rPr>
                <w:rFonts w:ascii="宋体" w:hAnsi="宋体"/>
                <w:szCs w:val="21"/>
              </w:rPr>
            </w:pPr>
            <w:r>
              <w:rPr>
                <w:rFonts w:hint="eastAsia" w:ascii="宋体" w:hAnsi="宋体"/>
                <w:szCs w:val="21"/>
              </w:rPr>
              <w:t>PPP项目前期咨询服务业绩</w:t>
            </w:r>
          </w:p>
        </w:tc>
        <w:tc>
          <w:tcPr>
            <w:tcW w:w="927" w:type="dxa"/>
            <w:vMerge w:val="restart"/>
            <w:tcBorders>
              <w:left w:val="single" w:color="auto" w:sz="8" w:space="0"/>
              <w:right w:val="single" w:color="auto" w:sz="8" w:space="0"/>
            </w:tcBorders>
            <w:vAlign w:val="center"/>
          </w:tcPr>
          <w:p>
            <w:pPr>
              <w:spacing w:line="340" w:lineRule="exact"/>
              <w:jc w:val="center"/>
              <w:rPr>
                <w:rFonts w:ascii="宋体" w:hAnsi="宋体"/>
                <w:szCs w:val="21"/>
              </w:rPr>
            </w:pPr>
            <w:r>
              <w:rPr>
                <w:rFonts w:hint="eastAsia" w:ascii="宋体" w:hAnsi="宋体"/>
                <w:szCs w:val="21"/>
              </w:rPr>
              <w:t>40分</w:t>
            </w:r>
          </w:p>
        </w:tc>
        <w:tc>
          <w:tcPr>
            <w:tcW w:w="3618" w:type="dxa"/>
            <w:tcBorders>
              <w:left w:val="single" w:color="auto" w:sz="8" w:space="0"/>
              <w:bottom w:val="single" w:color="auto" w:sz="4" w:space="0"/>
              <w:right w:val="single" w:color="auto" w:sz="8" w:space="0"/>
            </w:tcBorders>
            <w:vAlign w:val="center"/>
          </w:tcPr>
          <w:p>
            <w:pPr>
              <w:spacing w:line="280" w:lineRule="exact"/>
              <w:jc w:val="left"/>
              <w:rPr>
                <w:rFonts w:hint="eastAsia" w:ascii="宋体" w:hAnsi="宋体"/>
                <w:sz w:val="18"/>
                <w:szCs w:val="18"/>
              </w:rPr>
            </w:pPr>
            <w:r>
              <w:rPr>
                <w:rFonts w:hint="eastAsia" w:ascii="宋体" w:hAnsi="宋体"/>
                <w:sz w:val="18"/>
                <w:szCs w:val="18"/>
              </w:rPr>
              <w:t>满足附录2业绩最低要求得24分。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2" w:hRule="atLeast"/>
        </w:trPr>
        <w:tc>
          <w:tcPr>
            <w:tcW w:w="1027" w:type="dxa"/>
            <w:vMerge w:val="continue"/>
            <w:tcBorders>
              <w:left w:val="single" w:color="auto" w:sz="8" w:space="0"/>
              <w:right w:val="single" w:color="auto" w:sz="8" w:space="0"/>
            </w:tcBorders>
            <w:vAlign w:val="center"/>
          </w:tcPr>
          <w:p>
            <w:pPr>
              <w:spacing w:line="340" w:lineRule="exact"/>
              <w:jc w:val="center"/>
              <w:rPr>
                <w:rFonts w:hint="eastAsia" w:ascii="宋体" w:hAnsi="宋体"/>
                <w:szCs w:val="21"/>
              </w:rPr>
            </w:pPr>
          </w:p>
        </w:tc>
        <w:tc>
          <w:tcPr>
            <w:tcW w:w="1243" w:type="dxa"/>
            <w:vMerge w:val="continue"/>
            <w:tcBorders>
              <w:left w:val="single" w:color="auto" w:sz="8" w:space="0"/>
              <w:right w:val="single" w:color="auto" w:sz="8" w:space="0"/>
            </w:tcBorders>
            <w:tcMar>
              <w:left w:w="57" w:type="dxa"/>
              <w:right w:w="57" w:type="dxa"/>
            </w:tcMar>
            <w:vAlign w:val="center"/>
          </w:tcPr>
          <w:p>
            <w:pPr>
              <w:spacing w:line="340" w:lineRule="exact"/>
              <w:jc w:val="center"/>
              <w:rPr>
                <w:rFonts w:hint="eastAsia" w:ascii="宋体" w:hAnsi="宋体"/>
                <w:szCs w:val="21"/>
              </w:rPr>
            </w:pPr>
          </w:p>
        </w:tc>
        <w:tc>
          <w:tcPr>
            <w:tcW w:w="895" w:type="dxa"/>
            <w:vMerge w:val="continue"/>
            <w:tcBorders>
              <w:left w:val="single" w:color="auto" w:sz="8" w:space="0"/>
              <w:right w:val="single" w:color="auto" w:sz="8" w:space="0"/>
            </w:tcBorders>
            <w:vAlign w:val="center"/>
          </w:tcPr>
          <w:p>
            <w:pPr>
              <w:spacing w:line="340" w:lineRule="exact"/>
              <w:jc w:val="center"/>
              <w:rPr>
                <w:rFonts w:hint="eastAsia" w:ascii="宋体" w:hAnsi="宋体"/>
                <w:szCs w:val="21"/>
                <w:u w:val="single"/>
              </w:rPr>
            </w:pPr>
          </w:p>
        </w:tc>
        <w:tc>
          <w:tcPr>
            <w:tcW w:w="1929" w:type="dxa"/>
            <w:vMerge w:val="continue"/>
            <w:tcBorders>
              <w:left w:val="single" w:color="auto" w:sz="8" w:space="0"/>
              <w:right w:val="single" w:color="auto" w:sz="8" w:space="0"/>
            </w:tcBorders>
            <w:vAlign w:val="center"/>
          </w:tcPr>
          <w:p>
            <w:pPr>
              <w:spacing w:line="340" w:lineRule="exact"/>
              <w:rPr>
                <w:rFonts w:hint="eastAsia" w:ascii="宋体" w:hAnsi="宋体"/>
                <w:szCs w:val="21"/>
              </w:rPr>
            </w:pPr>
          </w:p>
        </w:tc>
        <w:tc>
          <w:tcPr>
            <w:tcW w:w="927" w:type="dxa"/>
            <w:vMerge w:val="continue"/>
            <w:tcBorders>
              <w:left w:val="single" w:color="auto" w:sz="8" w:space="0"/>
              <w:right w:val="single" w:color="auto" w:sz="8" w:space="0"/>
            </w:tcBorders>
            <w:vAlign w:val="center"/>
          </w:tcPr>
          <w:p>
            <w:pPr>
              <w:spacing w:line="340" w:lineRule="exact"/>
              <w:jc w:val="center"/>
              <w:rPr>
                <w:rFonts w:hint="eastAsia" w:ascii="宋体" w:hAnsi="宋体"/>
                <w:szCs w:val="21"/>
              </w:rPr>
            </w:pPr>
          </w:p>
        </w:tc>
        <w:tc>
          <w:tcPr>
            <w:tcW w:w="3618" w:type="dxa"/>
            <w:tcBorders>
              <w:top w:val="single" w:color="auto" w:sz="4" w:space="0"/>
              <w:left w:val="single" w:color="auto" w:sz="8" w:space="0"/>
              <w:right w:val="single" w:color="auto" w:sz="8" w:space="0"/>
            </w:tcBorders>
            <w:vAlign w:val="center"/>
          </w:tcPr>
          <w:p>
            <w:pPr>
              <w:spacing w:line="280" w:lineRule="exact"/>
              <w:jc w:val="left"/>
              <w:rPr>
                <w:rFonts w:hint="eastAsia" w:ascii="宋体" w:hAnsi="宋体"/>
                <w:sz w:val="18"/>
                <w:szCs w:val="18"/>
              </w:rPr>
            </w:pPr>
          </w:p>
          <w:p>
            <w:pPr>
              <w:spacing w:line="280" w:lineRule="exact"/>
              <w:jc w:val="left"/>
              <w:rPr>
                <w:rFonts w:hint="eastAsia" w:ascii="宋体" w:hAnsi="宋体"/>
                <w:sz w:val="18"/>
                <w:szCs w:val="18"/>
              </w:rPr>
            </w:pPr>
            <w:r>
              <w:rPr>
                <w:rFonts w:hint="eastAsia" w:ascii="宋体" w:hAnsi="宋体"/>
                <w:sz w:val="18"/>
                <w:szCs w:val="18"/>
              </w:rPr>
              <w:t>1、近3年（</w:t>
            </w:r>
            <w:r>
              <w:rPr>
                <w:rFonts w:hint="eastAsia" w:ascii="宋体" w:hAnsi="宋体"/>
                <w:sz w:val="18"/>
                <w:szCs w:val="18"/>
                <w:lang w:eastAsia="zh-CN"/>
              </w:rPr>
              <w:t>2016年4月30日至2019年4月30日</w:t>
            </w:r>
            <w:r>
              <w:rPr>
                <w:rFonts w:hint="eastAsia" w:ascii="宋体" w:hAnsi="宋体"/>
                <w:sz w:val="18"/>
                <w:szCs w:val="18"/>
              </w:rPr>
              <w:t>）承担过的PPP项目咨询服务业绩</w:t>
            </w:r>
            <w:r>
              <w:rPr>
                <w:rFonts w:hint="eastAsia" w:ascii="宋体" w:hAnsi="宋体"/>
                <w:sz w:val="18"/>
                <w:szCs w:val="18"/>
                <w:lang w:eastAsia="zh-CN"/>
              </w:rPr>
              <w:t>高于</w:t>
            </w:r>
            <w:r>
              <w:rPr>
                <w:rFonts w:hint="eastAsia" w:ascii="宋体" w:hAnsi="宋体"/>
                <w:sz w:val="18"/>
                <w:szCs w:val="18"/>
              </w:rPr>
              <w:t>资格审查最低要求每增加一项业绩加</w:t>
            </w:r>
            <w:r>
              <w:rPr>
                <w:rFonts w:hint="eastAsia" w:ascii="宋体" w:hAnsi="宋体"/>
                <w:sz w:val="18"/>
                <w:szCs w:val="18"/>
                <w:lang w:val="en-US" w:eastAsia="zh-CN"/>
              </w:rPr>
              <w:t>0.5</w:t>
            </w:r>
            <w:r>
              <w:rPr>
                <w:rFonts w:hint="eastAsia" w:ascii="宋体" w:hAnsi="宋体"/>
                <w:sz w:val="18"/>
                <w:szCs w:val="18"/>
              </w:rPr>
              <w:t>分，最高加4分；</w:t>
            </w:r>
          </w:p>
          <w:p>
            <w:pPr>
              <w:spacing w:line="280" w:lineRule="exact"/>
              <w:jc w:val="left"/>
              <w:rPr>
                <w:rFonts w:hint="eastAsia" w:ascii="宋体" w:hAnsi="宋体"/>
                <w:sz w:val="18"/>
                <w:szCs w:val="18"/>
              </w:rPr>
            </w:pPr>
            <w:r>
              <w:rPr>
                <w:rFonts w:hint="eastAsia" w:ascii="宋体" w:hAnsi="宋体"/>
                <w:sz w:val="18"/>
                <w:szCs w:val="18"/>
                <w:lang w:val="en-US" w:eastAsia="zh-CN"/>
              </w:rPr>
              <w:t>2</w:t>
            </w:r>
            <w:r>
              <w:rPr>
                <w:rFonts w:hint="eastAsia" w:ascii="宋体" w:hAnsi="宋体"/>
                <w:sz w:val="18"/>
                <w:szCs w:val="18"/>
              </w:rPr>
              <w:t>、近3年（</w:t>
            </w:r>
            <w:r>
              <w:rPr>
                <w:rFonts w:hint="eastAsia" w:ascii="宋体" w:hAnsi="宋体"/>
                <w:sz w:val="18"/>
                <w:szCs w:val="18"/>
                <w:lang w:eastAsia="zh-CN"/>
              </w:rPr>
              <w:t>2016年4月30日至2019年4月30日</w:t>
            </w:r>
            <w:r>
              <w:rPr>
                <w:rFonts w:hint="eastAsia" w:ascii="宋体" w:hAnsi="宋体"/>
                <w:sz w:val="18"/>
                <w:szCs w:val="18"/>
              </w:rPr>
              <w:t>），</w:t>
            </w:r>
            <w:r>
              <w:rPr>
                <w:rFonts w:hint="eastAsia" w:ascii="宋体" w:hAnsi="宋体"/>
                <w:sz w:val="18"/>
                <w:szCs w:val="18"/>
                <w:lang w:eastAsia="zh-CN"/>
              </w:rPr>
              <w:t>每增加完成一个高速公路</w:t>
            </w:r>
            <w:r>
              <w:rPr>
                <w:rFonts w:hint="eastAsia" w:ascii="宋体" w:hAnsi="宋体"/>
                <w:sz w:val="18"/>
                <w:szCs w:val="18"/>
              </w:rPr>
              <w:t>PPP项目咨询服务业绩（与前述业绩不得重复）</w:t>
            </w:r>
            <w:r>
              <w:rPr>
                <w:rFonts w:hint="eastAsia" w:ascii="宋体" w:hAnsi="宋体"/>
                <w:sz w:val="18"/>
                <w:szCs w:val="18"/>
                <w:lang w:eastAsia="zh-CN"/>
              </w:rPr>
              <w:t>的</w:t>
            </w:r>
            <w:r>
              <w:rPr>
                <w:rFonts w:hint="eastAsia" w:ascii="宋体" w:hAnsi="宋体"/>
                <w:sz w:val="18"/>
                <w:szCs w:val="18"/>
              </w:rPr>
              <w:t>加</w:t>
            </w:r>
            <w:r>
              <w:rPr>
                <w:rFonts w:hint="eastAsia" w:ascii="宋体" w:hAnsi="宋体"/>
                <w:sz w:val="18"/>
                <w:szCs w:val="18"/>
                <w:lang w:val="en-US" w:eastAsia="zh-CN"/>
              </w:rPr>
              <w:t>1</w:t>
            </w:r>
            <w:r>
              <w:rPr>
                <w:rFonts w:hint="eastAsia" w:ascii="宋体" w:hAnsi="宋体"/>
                <w:sz w:val="18"/>
                <w:szCs w:val="18"/>
              </w:rPr>
              <w:t>分，最高加</w:t>
            </w:r>
            <w:r>
              <w:rPr>
                <w:rFonts w:hint="eastAsia" w:ascii="宋体" w:hAnsi="宋体"/>
                <w:sz w:val="18"/>
                <w:szCs w:val="18"/>
                <w:lang w:val="en-US" w:eastAsia="zh-CN"/>
              </w:rPr>
              <w:t>6</w:t>
            </w:r>
            <w:r>
              <w:rPr>
                <w:rFonts w:hint="eastAsia" w:ascii="宋体" w:hAnsi="宋体"/>
                <w:sz w:val="18"/>
                <w:szCs w:val="18"/>
              </w:rPr>
              <w:t xml:space="preserve">分； </w:t>
            </w:r>
          </w:p>
          <w:p>
            <w:pPr>
              <w:spacing w:line="280" w:lineRule="exact"/>
              <w:jc w:val="left"/>
              <w:rPr>
                <w:rFonts w:hint="eastAsia" w:ascii="宋体" w:hAnsi="宋体"/>
                <w:sz w:val="18"/>
                <w:szCs w:val="18"/>
              </w:rPr>
            </w:pPr>
            <w:r>
              <w:rPr>
                <w:rFonts w:hint="eastAsia" w:ascii="宋体" w:hAnsi="宋体"/>
                <w:sz w:val="18"/>
                <w:szCs w:val="18"/>
                <w:lang w:val="en-US" w:eastAsia="zh-CN"/>
              </w:rPr>
              <w:t>3</w:t>
            </w:r>
            <w:r>
              <w:rPr>
                <w:rFonts w:hint="eastAsia" w:ascii="宋体" w:hAnsi="宋体"/>
                <w:sz w:val="18"/>
                <w:szCs w:val="18"/>
              </w:rPr>
              <w:t>、近3年（</w:t>
            </w:r>
            <w:r>
              <w:rPr>
                <w:rFonts w:hint="eastAsia" w:ascii="宋体" w:hAnsi="宋体"/>
                <w:sz w:val="18"/>
                <w:szCs w:val="18"/>
                <w:lang w:eastAsia="zh-CN"/>
              </w:rPr>
              <w:t>2016年4月30日至2019年4月30日</w:t>
            </w:r>
            <w:r>
              <w:rPr>
                <w:rFonts w:hint="eastAsia" w:ascii="宋体" w:hAnsi="宋体"/>
                <w:sz w:val="18"/>
                <w:szCs w:val="18"/>
              </w:rPr>
              <w:t>），承担过的PPP项目咨询服务业绩中，每有一个国家级（财政部）示范项目（与前述</w:t>
            </w:r>
            <w:r>
              <w:rPr>
                <w:rFonts w:hint="eastAsia" w:ascii="宋体" w:hAnsi="宋体"/>
                <w:sz w:val="18"/>
                <w:szCs w:val="18"/>
                <w:lang w:eastAsia="zh-CN"/>
              </w:rPr>
              <w:t>两项</w:t>
            </w:r>
            <w:r>
              <w:rPr>
                <w:rFonts w:hint="eastAsia" w:ascii="宋体" w:hAnsi="宋体"/>
                <w:sz w:val="18"/>
                <w:szCs w:val="18"/>
              </w:rPr>
              <w:t>业绩</w:t>
            </w:r>
            <w:r>
              <w:rPr>
                <w:rFonts w:hint="eastAsia" w:ascii="宋体" w:hAnsi="宋体"/>
                <w:sz w:val="18"/>
                <w:szCs w:val="18"/>
                <w:lang w:eastAsia="zh-CN"/>
              </w:rPr>
              <w:t>可以</w:t>
            </w:r>
            <w:r>
              <w:rPr>
                <w:rFonts w:hint="eastAsia" w:ascii="宋体" w:hAnsi="宋体"/>
                <w:sz w:val="18"/>
                <w:szCs w:val="18"/>
              </w:rPr>
              <w:t>重复），加</w:t>
            </w:r>
            <w:r>
              <w:rPr>
                <w:rFonts w:hint="eastAsia" w:ascii="宋体" w:hAnsi="宋体"/>
                <w:sz w:val="18"/>
                <w:szCs w:val="18"/>
                <w:lang w:val="en-US" w:eastAsia="zh-CN"/>
              </w:rPr>
              <w:t>1</w:t>
            </w:r>
            <w:r>
              <w:rPr>
                <w:rFonts w:hint="eastAsia" w:ascii="宋体" w:hAnsi="宋体"/>
                <w:sz w:val="18"/>
                <w:szCs w:val="18"/>
              </w:rPr>
              <w:t>分，最高加</w:t>
            </w:r>
            <w:r>
              <w:rPr>
                <w:rFonts w:hint="eastAsia" w:ascii="宋体" w:hAnsi="宋体"/>
                <w:sz w:val="18"/>
                <w:szCs w:val="18"/>
                <w:lang w:val="en-US" w:eastAsia="zh-CN"/>
              </w:rPr>
              <w:t>6</w:t>
            </w:r>
            <w:r>
              <w:rPr>
                <w:rFonts w:hint="eastAsia" w:ascii="宋体" w:hAnsi="宋体"/>
                <w:sz w:val="18"/>
                <w:szCs w:val="18"/>
              </w:rPr>
              <w:t>分；</w:t>
            </w:r>
          </w:p>
          <w:p>
            <w:pPr>
              <w:spacing w:line="280" w:lineRule="exact"/>
              <w:jc w:val="left"/>
              <w:rPr>
                <w:rFonts w:hint="eastAsia" w:ascii="宋体" w:hAnsi="宋体"/>
                <w:sz w:val="18"/>
                <w:szCs w:val="18"/>
              </w:rPr>
            </w:pPr>
            <w:r>
              <w:rPr>
                <w:rFonts w:hint="eastAsia" w:ascii="宋体" w:hAnsi="宋体"/>
                <w:sz w:val="18"/>
                <w:szCs w:val="18"/>
                <w:lang w:eastAsia="zh-CN"/>
              </w:rPr>
              <w:t>以上</w:t>
            </w:r>
            <w:r>
              <w:rPr>
                <w:rFonts w:hint="eastAsia" w:ascii="宋体" w:hAnsi="宋体"/>
                <w:sz w:val="18"/>
                <w:szCs w:val="18"/>
              </w:rPr>
              <w:t>业绩</w:t>
            </w:r>
            <w:r>
              <w:rPr>
                <w:rFonts w:hint="eastAsia" w:ascii="宋体" w:hAnsi="宋体"/>
                <w:sz w:val="18"/>
                <w:szCs w:val="18"/>
                <w:lang w:eastAsia="zh-CN"/>
              </w:rPr>
              <w:t>必须在</w:t>
            </w:r>
            <w:r>
              <w:rPr>
                <w:rFonts w:hint="eastAsia" w:ascii="宋体" w:hAnsi="宋体"/>
                <w:sz w:val="18"/>
                <w:szCs w:val="18"/>
              </w:rPr>
              <w:t>（</w:t>
            </w:r>
            <w:r>
              <w:rPr>
                <w:rFonts w:hint="eastAsia" w:ascii="宋体" w:hAnsi="宋体"/>
                <w:sz w:val="18"/>
                <w:szCs w:val="18"/>
                <w:lang w:eastAsia="zh-CN"/>
              </w:rPr>
              <w:t>2016年4月30日至2019年4月30日</w:t>
            </w:r>
            <w:r>
              <w:rPr>
                <w:rFonts w:hint="eastAsia" w:ascii="宋体" w:hAnsi="宋体"/>
                <w:sz w:val="18"/>
                <w:szCs w:val="18"/>
              </w:rPr>
              <w:t>）</w:t>
            </w:r>
            <w:r>
              <w:rPr>
                <w:rFonts w:hint="eastAsia" w:ascii="宋体" w:hAnsi="宋体"/>
                <w:sz w:val="18"/>
                <w:szCs w:val="18"/>
                <w:lang w:eastAsia="zh-CN"/>
              </w:rPr>
              <w:t>有效期间内完成</w:t>
            </w:r>
            <w:r>
              <w:rPr>
                <w:rFonts w:hint="eastAsia" w:ascii="宋体" w:hAnsi="宋体"/>
                <w:sz w:val="18"/>
                <w:szCs w:val="18"/>
                <w:lang w:val="en-US" w:eastAsia="zh-CN"/>
              </w:rPr>
              <w:t>PPP项目社会投资人招标以及发放社会投资人中标通知书时间作为有效评审业绩。同时要附有</w:t>
            </w:r>
            <w:r>
              <w:rPr>
                <w:rFonts w:hint="eastAsia" w:ascii="宋体" w:hAnsi="宋体"/>
                <w:sz w:val="18"/>
                <w:szCs w:val="18"/>
              </w:rPr>
              <w:t>签署的咨询服务合同</w:t>
            </w:r>
            <w:r>
              <w:rPr>
                <w:rFonts w:hint="eastAsia" w:ascii="宋体" w:hAnsi="宋体"/>
                <w:sz w:val="18"/>
                <w:szCs w:val="18"/>
                <w:lang w:eastAsia="zh-CN"/>
              </w:rPr>
              <w:t>（</w:t>
            </w:r>
            <w:r>
              <w:rPr>
                <w:rFonts w:hint="eastAsia" w:ascii="宋体" w:hAnsi="宋体"/>
                <w:sz w:val="18"/>
                <w:szCs w:val="18"/>
              </w:rPr>
              <w:t>附首页、签字盖章</w:t>
            </w:r>
            <w:r>
              <w:rPr>
                <w:rFonts w:hint="eastAsia" w:ascii="宋体" w:hAnsi="宋体"/>
                <w:sz w:val="18"/>
                <w:szCs w:val="18"/>
                <w:lang w:eastAsia="zh-CN"/>
              </w:rPr>
              <w:t>和签署时间</w:t>
            </w:r>
            <w:r>
              <w:rPr>
                <w:rFonts w:hint="eastAsia" w:ascii="宋体" w:hAnsi="宋体"/>
                <w:sz w:val="18"/>
                <w:szCs w:val="18"/>
              </w:rPr>
              <w:t>页</w:t>
            </w:r>
            <w:r>
              <w:rPr>
                <w:rFonts w:hint="eastAsia" w:ascii="宋体" w:hAnsi="宋体"/>
                <w:sz w:val="18"/>
                <w:szCs w:val="18"/>
                <w:lang w:eastAsia="zh-CN"/>
              </w:rPr>
              <w:t>）、</w:t>
            </w:r>
            <w:r>
              <w:rPr>
                <w:rFonts w:hint="eastAsia" w:ascii="宋体" w:hAnsi="宋体"/>
                <w:sz w:val="18"/>
                <w:szCs w:val="18"/>
                <w:lang w:val="en-US" w:eastAsia="zh-CN"/>
              </w:rPr>
              <w:t>PPP项目社会投资人招标结果公示截图彩色扫描件、社会投资人中标通知书彩色扫描件</w:t>
            </w:r>
            <w:r>
              <w:rPr>
                <w:rFonts w:hint="eastAsia" w:ascii="宋体" w:hAnsi="宋体"/>
                <w:sz w:val="18"/>
                <w:szCs w:val="18"/>
                <w:lang w:eastAsia="zh-CN"/>
              </w:rPr>
              <w:t>、</w:t>
            </w:r>
            <w:r>
              <w:rPr>
                <w:rFonts w:hint="eastAsia" w:ascii="宋体" w:hAnsi="宋体"/>
                <w:sz w:val="18"/>
                <w:szCs w:val="18"/>
              </w:rPr>
              <w:t>财政部网站关于PPP示范项目的公示截图及网址链接或者相关文件</w:t>
            </w:r>
            <w:r>
              <w:rPr>
                <w:rFonts w:hint="eastAsia" w:ascii="宋体" w:hAnsi="宋体"/>
                <w:sz w:val="18"/>
                <w:szCs w:val="18"/>
                <w:lang w:eastAsia="zh-CN"/>
              </w:rPr>
              <w:t>。如未提供以上相关评审资料，评审时将不予评审加分。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atLeast"/>
        </w:trPr>
        <w:tc>
          <w:tcPr>
            <w:tcW w:w="1027" w:type="dxa"/>
            <w:vMerge w:val="restart"/>
            <w:tcBorders>
              <w:left w:val="single" w:color="auto" w:sz="8" w:space="0"/>
              <w:right w:val="single" w:color="auto" w:sz="8" w:space="0"/>
            </w:tcBorders>
            <w:shd w:val="clear" w:color="auto" w:fill="auto"/>
            <w:vAlign w:val="center"/>
          </w:tcPr>
          <w:p>
            <w:pPr>
              <w:spacing w:line="340" w:lineRule="exact"/>
              <w:jc w:val="center"/>
              <w:rPr>
                <w:rFonts w:ascii="宋体" w:hAnsi="宋体"/>
                <w:szCs w:val="21"/>
              </w:rPr>
            </w:pPr>
            <w:r>
              <w:rPr>
                <w:rFonts w:hint="eastAsia" w:ascii="宋体" w:hAnsi="宋体"/>
                <w:szCs w:val="21"/>
              </w:rPr>
              <w:t>2.2.4（3）</w:t>
            </w:r>
          </w:p>
        </w:tc>
        <w:tc>
          <w:tcPr>
            <w:tcW w:w="1243" w:type="dxa"/>
            <w:vMerge w:val="restart"/>
            <w:tcBorders>
              <w:left w:val="single" w:color="auto" w:sz="8" w:space="0"/>
              <w:right w:val="single" w:color="auto" w:sz="8" w:space="0"/>
            </w:tcBorders>
            <w:shd w:val="clear" w:color="auto" w:fill="auto"/>
            <w:vAlign w:val="center"/>
          </w:tcPr>
          <w:p>
            <w:pPr>
              <w:spacing w:line="340" w:lineRule="exact"/>
              <w:jc w:val="center"/>
              <w:rPr>
                <w:rFonts w:hint="eastAsia" w:ascii="宋体" w:hAnsi="宋体"/>
                <w:szCs w:val="21"/>
              </w:rPr>
            </w:pPr>
            <w:r>
              <w:rPr>
                <w:rFonts w:hint="eastAsia" w:ascii="宋体" w:hAnsi="宋体"/>
                <w:szCs w:val="21"/>
              </w:rPr>
              <w:t>技术</w:t>
            </w:r>
          </w:p>
          <w:p>
            <w:pPr>
              <w:spacing w:line="340" w:lineRule="exact"/>
              <w:jc w:val="center"/>
              <w:rPr>
                <w:rFonts w:hint="eastAsia" w:ascii="宋体" w:hAnsi="宋体"/>
                <w:szCs w:val="21"/>
              </w:rPr>
            </w:pPr>
            <w:r>
              <w:rPr>
                <w:rFonts w:hint="eastAsia" w:ascii="宋体" w:hAnsi="宋体"/>
                <w:szCs w:val="21"/>
              </w:rPr>
              <w:t>建议书</w:t>
            </w:r>
          </w:p>
        </w:tc>
        <w:tc>
          <w:tcPr>
            <w:tcW w:w="895" w:type="dxa"/>
            <w:vMerge w:val="restart"/>
            <w:tcBorders>
              <w:left w:val="single" w:color="auto" w:sz="8" w:space="0"/>
              <w:right w:val="single" w:color="auto" w:sz="8" w:space="0"/>
            </w:tcBorders>
            <w:shd w:val="clear" w:color="auto" w:fill="auto"/>
            <w:vAlign w:val="center"/>
          </w:tcPr>
          <w:p>
            <w:pPr>
              <w:spacing w:line="340" w:lineRule="exact"/>
              <w:jc w:val="center"/>
              <w:rPr>
                <w:rFonts w:hint="eastAsia" w:ascii="宋体" w:hAnsi="宋体"/>
                <w:szCs w:val="21"/>
                <w:u w:val="single"/>
              </w:rPr>
            </w:pPr>
            <w:r>
              <w:rPr>
                <w:rFonts w:hint="eastAsia" w:ascii="宋体" w:hAnsi="宋体"/>
                <w:szCs w:val="21"/>
                <w:u w:val="single"/>
                <w:lang w:val="en-US" w:eastAsia="zh-CN"/>
              </w:rPr>
              <w:t>25</w:t>
            </w:r>
            <w:r>
              <w:rPr>
                <w:rFonts w:hint="eastAsia" w:ascii="宋体" w:hAnsi="宋体"/>
                <w:szCs w:val="21"/>
              </w:rPr>
              <w:t>分</w:t>
            </w:r>
          </w:p>
        </w:tc>
        <w:tc>
          <w:tcPr>
            <w:tcW w:w="1929" w:type="dxa"/>
            <w:tcBorders>
              <w:left w:val="single" w:color="auto" w:sz="8" w:space="0"/>
              <w:right w:val="single" w:color="auto" w:sz="8" w:space="0"/>
            </w:tcBorders>
            <w:shd w:val="clear" w:color="auto" w:fill="FFFFFF"/>
            <w:vAlign w:val="center"/>
          </w:tcPr>
          <w:p>
            <w:pPr>
              <w:snapToGrid w:val="0"/>
              <w:rPr>
                <w:rFonts w:hint="eastAsia" w:ascii="宋体" w:hAnsi="宋体"/>
                <w:szCs w:val="21"/>
              </w:rPr>
            </w:pPr>
            <w:r>
              <w:rPr>
                <w:rFonts w:hint="eastAsia" w:ascii="宋体" w:hAnsi="宋体"/>
                <w:szCs w:val="21"/>
              </w:rPr>
              <w:t>咨询服务方案</w:t>
            </w:r>
          </w:p>
        </w:tc>
        <w:tc>
          <w:tcPr>
            <w:tcW w:w="927" w:type="dxa"/>
            <w:tcBorders>
              <w:left w:val="single" w:color="auto" w:sz="8" w:space="0"/>
              <w:right w:val="single" w:color="auto" w:sz="8" w:space="0"/>
            </w:tcBorders>
            <w:shd w:val="clear" w:color="auto" w:fill="FFFFFF"/>
            <w:vAlign w:val="center"/>
          </w:tcPr>
          <w:p>
            <w:pPr>
              <w:snapToGrid w:val="0"/>
              <w:jc w:val="center"/>
              <w:rPr>
                <w:rFonts w:hint="eastAsia" w:ascii="宋体" w:hAnsi="宋体"/>
                <w:szCs w:val="21"/>
                <w:u w:val="single"/>
              </w:rPr>
            </w:pPr>
            <w:r>
              <w:rPr>
                <w:rFonts w:hint="eastAsia" w:ascii="宋体" w:hAnsi="宋体"/>
                <w:szCs w:val="21"/>
                <w:lang w:val="en-US" w:eastAsia="zh-CN"/>
              </w:rPr>
              <w:t>8</w:t>
            </w:r>
          </w:p>
        </w:tc>
        <w:tc>
          <w:tcPr>
            <w:tcW w:w="3618" w:type="dxa"/>
            <w:tcBorders>
              <w:left w:val="single" w:color="auto" w:sz="8" w:space="0"/>
              <w:bottom w:val="single" w:color="auto" w:sz="4" w:space="0"/>
              <w:right w:val="single" w:color="auto" w:sz="8" w:space="0"/>
            </w:tcBorders>
            <w:shd w:val="clear" w:color="auto" w:fill="FFFFFF"/>
            <w:vAlign w:val="center"/>
          </w:tcPr>
          <w:p>
            <w:pPr>
              <w:spacing w:line="280" w:lineRule="exact"/>
              <w:jc w:val="left"/>
              <w:rPr>
                <w:rFonts w:hint="eastAsia" w:ascii="宋体" w:hAnsi="宋体"/>
                <w:sz w:val="18"/>
                <w:szCs w:val="18"/>
              </w:rPr>
            </w:pPr>
            <w:r>
              <w:rPr>
                <w:rFonts w:hint="eastAsia" w:ascii="宋体" w:hAnsi="宋体"/>
                <w:sz w:val="18"/>
                <w:szCs w:val="18"/>
              </w:rPr>
              <w:t>1、完整性：方案能对招标人提出的各项PPP咨询服务内容进行完整、合理地阐述，得</w:t>
            </w:r>
            <w:r>
              <w:rPr>
                <w:rFonts w:hint="eastAsia" w:ascii="宋体" w:hAnsi="宋体"/>
                <w:sz w:val="18"/>
                <w:szCs w:val="18"/>
                <w:lang w:val="en-US" w:eastAsia="zh-CN"/>
              </w:rPr>
              <w:t>3.2</w:t>
            </w:r>
            <w:r>
              <w:rPr>
                <w:rFonts w:hint="eastAsia" w:ascii="宋体" w:hAnsi="宋体"/>
                <w:sz w:val="18"/>
                <w:szCs w:val="18"/>
              </w:rPr>
              <w:t>～</w:t>
            </w:r>
            <w:r>
              <w:rPr>
                <w:rFonts w:hint="eastAsia" w:ascii="宋体" w:hAnsi="宋体"/>
                <w:sz w:val="18"/>
                <w:szCs w:val="18"/>
                <w:lang w:val="en-US" w:eastAsia="zh-CN"/>
              </w:rPr>
              <w:t>4</w:t>
            </w:r>
            <w:r>
              <w:rPr>
                <w:rFonts w:hint="eastAsia" w:ascii="宋体" w:hAnsi="宋体"/>
                <w:sz w:val="18"/>
                <w:szCs w:val="18"/>
              </w:rPr>
              <w:t>分，内容一般得</w:t>
            </w:r>
            <w:r>
              <w:rPr>
                <w:rFonts w:hint="eastAsia" w:ascii="宋体" w:hAnsi="宋体"/>
                <w:sz w:val="18"/>
                <w:szCs w:val="18"/>
                <w:lang w:val="en-US" w:eastAsia="zh-CN"/>
              </w:rPr>
              <w:t>2.4</w:t>
            </w:r>
            <w:r>
              <w:rPr>
                <w:rFonts w:hint="eastAsia" w:ascii="宋体" w:hAnsi="宋体"/>
                <w:sz w:val="18"/>
                <w:szCs w:val="18"/>
              </w:rPr>
              <w:t>～</w:t>
            </w:r>
            <w:r>
              <w:rPr>
                <w:rFonts w:hint="eastAsia" w:ascii="宋体" w:hAnsi="宋体"/>
                <w:sz w:val="18"/>
                <w:szCs w:val="18"/>
                <w:lang w:val="en-US" w:eastAsia="zh-CN"/>
              </w:rPr>
              <w:t>3.2</w:t>
            </w:r>
            <w:r>
              <w:rPr>
                <w:rFonts w:hint="eastAsia" w:ascii="宋体" w:hAnsi="宋体"/>
                <w:sz w:val="18"/>
                <w:szCs w:val="18"/>
              </w:rPr>
              <w:t>分；</w:t>
            </w:r>
          </w:p>
          <w:p>
            <w:pPr>
              <w:spacing w:line="280" w:lineRule="exact"/>
              <w:jc w:val="left"/>
              <w:rPr>
                <w:rFonts w:hint="eastAsia" w:ascii="宋体" w:hAnsi="宋体"/>
                <w:sz w:val="18"/>
                <w:szCs w:val="18"/>
              </w:rPr>
            </w:pPr>
            <w:r>
              <w:rPr>
                <w:rFonts w:hint="eastAsia" w:ascii="宋体" w:hAnsi="宋体"/>
                <w:sz w:val="18"/>
                <w:szCs w:val="18"/>
              </w:rPr>
              <w:t>2、可行性：方案的总体思路清晰、合理、可行，得1.6～2分，内容一般得1.2～1.6分；</w:t>
            </w:r>
          </w:p>
          <w:p>
            <w:pPr>
              <w:spacing w:line="280" w:lineRule="exact"/>
              <w:jc w:val="left"/>
              <w:rPr>
                <w:rFonts w:hint="eastAsia" w:ascii="宋体" w:hAnsi="宋体"/>
                <w:sz w:val="18"/>
                <w:szCs w:val="18"/>
              </w:rPr>
            </w:pPr>
            <w:r>
              <w:rPr>
                <w:rFonts w:hint="eastAsia" w:ascii="宋体" w:hAnsi="宋体"/>
                <w:sz w:val="18"/>
                <w:szCs w:val="18"/>
              </w:rPr>
              <w:t>3、专业性：方案能充分体现咨询服务方面独立处理问题能力和协助采购人完成相关工作的能力，得</w:t>
            </w:r>
            <w:r>
              <w:rPr>
                <w:rFonts w:hint="eastAsia" w:ascii="宋体" w:hAnsi="宋体"/>
                <w:sz w:val="18"/>
                <w:szCs w:val="18"/>
                <w:lang w:val="en-US" w:eastAsia="zh-CN"/>
              </w:rPr>
              <w:t>1.6</w:t>
            </w:r>
            <w:r>
              <w:rPr>
                <w:rFonts w:hint="eastAsia" w:ascii="宋体" w:hAnsi="宋体"/>
                <w:sz w:val="18"/>
                <w:szCs w:val="18"/>
              </w:rPr>
              <w:t>～</w:t>
            </w:r>
            <w:r>
              <w:rPr>
                <w:rFonts w:hint="eastAsia" w:ascii="宋体" w:hAnsi="宋体"/>
                <w:sz w:val="18"/>
                <w:szCs w:val="18"/>
                <w:lang w:val="en-US" w:eastAsia="zh-CN"/>
              </w:rPr>
              <w:t>2</w:t>
            </w:r>
            <w:r>
              <w:rPr>
                <w:rFonts w:hint="eastAsia" w:ascii="宋体" w:hAnsi="宋体"/>
                <w:sz w:val="18"/>
                <w:szCs w:val="18"/>
              </w:rPr>
              <w:t>分，内容一般得</w:t>
            </w:r>
            <w:r>
              <w:rPr>
                <w:rFonts w:hint="eastAsia" w:ascii="宋体" w:hAnsi="宋体"/>
                <w:sz w:val="18"/>
                <w:szCs w:val="18"/>
                <w:lang w:val="en-US" w:eastAsia="zh-CN"/>
              </w:rPr>
              <w:t>1.2</w:t>
            </w:r>
            <w:r>
              <w:rPr>
                <w:rFonts w:hint="eastAsia" w:ascii="宋体" w:hAnsi="宋体"/>
                <w:sz w:val="18"/>
                <w:szCs w:val="18"/>
              </w:rPr>
              <w:t>～</w:t>
            </w:r>
            <w:r>
              <w:rPr>
                <w:rFonts w:hint="eastAsia" w:ascii="宋体" w:hAnsi="宋体"/>
                <w:sz w:val="18"/>
                <w:szCs w:val="18"/>
                <w:lang w:val="en-US" w:eastAsia="zh-CN"/>
              </w:rPr>
              <w:t>1.6</w:t>
            </w:r>
            <w:r>
              <w:rPr>
                <w:rFonts w:hint="eastAsia" w:ascii="宋体" w:hAnsi="宋体"/>
                <w:sz w:val="18"/>
                <w:szCs w:val="18"/>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027" w:type="dxa"/>
            <w:vMerge w:val="continue"/>
            <w:tcBorders>
              <w:left w:val="single" w:color="auto" w:sz="8" w:space="0"/>
              <w:right w:val="single" w:color="auto" w:sz="8" w:space="0"/>
            </w:tcBorders>
            <w:shd w:val="clear" w:color="auto" w:fill="auto"/>
            <w:vAlign w:val="center"/>
          </w:tcPr>
          <w:p>
            <w:pPr>
              <w:spacing w:line="340" w:lineRule="exact"/>
              <w:jc w:val="center"/>
              <w:rPr>
                <w:rFonts w:ascii="宋体" w:hAnsi="宋体"/>
                <w:szCs w:val="21"/>
              </w:rPr>
            </w:pPr>
          </w:p>
        </w:tc>
        <w:tc>
          <w:tcPr>
            <w:tcW w:w="1243" w:type="dxa"/>
            <w:vMerge w:val="continue"/>
            <w:tcBorders>
              <w:left w:val="single" w:color="auto" w:sz="8" w:space="0"/>
              <w:right w:val="single" w:color="auto" w:sz="8" w:space="0"/>
            </w:tcBorders>
            <w:shd w:val="clear" w:color="auto" w:fill="auto"/>
            <w:vAlign w:val="center"/>
          </w:tcPr>
          <w:p>
            <w:pPr>
              <w:spacing w:line="340" w:lineRule="exact"/>
              <w:jc w:val="center"/>
              <w:rPr>
                <w:rFonts w:hint="eastAsia" w:ascii="宋体" w:hAnsi="宋体"/>
                <w:szCs w:val="21"/>
              </w:rPr>
            </w:pPr>
          </w:p>
        </w:tc>
        <w:tc>
          <w:tcPr>
            <w:tcW w:w="895" w:type="dxa"/>
            <w:vMerge w:val="continue"/>
            <w:tcBorders>
              <w:left w:val="single" w:color="auto" w:sz="8" w:space="0"/>
              <w:right w:val="single" w:color="auto" w:sz="8" w:space="0"/>
            </w:tcBorders>
            <w:shd w:val="clear" w:color="auto" w:fill="auto"/>
            <w:vAlign w:val="center"/>
          </w:tcPr>
          <w:p>
            <w:pPr>
              <w:spacing w:line="340" w:lineRule="exact"/>
              <w:jc w:val="center"/>
              <w:rPr>
                <w:rFonts w:hint="eastAsia" w:ascii="宋体" w:hAnsi="宋体"/>
                <w:szCs w:val="21"/>
                <w:u w:val="single"/>
              </w:rPr>
            </w:pPr>
          </w:p>
        </w:tc>
        <w:tc>
          <w:tcPr>
            <w:tcW w:w="1929" w:type="dxa"/>
            <w:tcBorders>
              <w:left w:val="single" w:color="auto" w:sz="8" w:space="0"/>
              <w:right w:val="single" w:color="auto" w:sz="8" w:space="0"/>
            </w:tcBorders>
            <w:shd w:val="clear" w:color="auto" w:fill="FFFFFF"/>
            <w:vAlign w:val="center"/>
          </w:tcPr>
          <w:p>
            <w:pPr>
              <w:snapToGrid w:val="0"/>
              <w:jc w:val="left"/>
              <w:rPr>
                <w:rFonts w:ascii="宋体" w:hAnsi="宋体"/>
                <w:spacing w:val="-4"/>
                <w:sz w:val="18"/>
                <w:szCs w:val="18"/>
              </w:rPr>
            </w:pPr>
            <w:r>
              <w:rPr>
                <w:rFonts w:hint="eastAsia" w:ascii="宋体" w:hAnsi="宋体"/>
                <w:szCs w:val="21"/>
              </w:rPr>
              <w:t>对</w:t>
            </w:r>
            <w:r>
              <w:rPr>
                <w:rFonts w:ascii="宋体" w:hAnsi="宋体"/>
                <w:szCs w:val="21"/>
              </w:rPr>
              <w:t>PPP</w:t>
            </w:r>
            <w:r>
              <w:rPr>
                <w:rFonts w:hint="eastAsia" w:ascii="宋体" w:hAnsi="宋体"/>
                <w:szCs w:val="21"/>
              </w:rPr>
              <w:t>模式的理解及如何应用在本项目的建议</w:t>
            </w:r>
          </w:p>
        </w:tc>
        <w:tc>
          <w:tcPr>
            <w:tcW w:w="927" w:type="dxa"/>
            <w:tcBorders>
              <w:left w:val="single" w:color="auto" w:sz="8" w:space="0"/>
              <w:right w:val="single" w:color="auto" w:sz="8" w:space="0"/>
            </w:tcBorders>
            <w:shd w:val="clear" w:color="auto" w:fill="FFFFFF"/>
            <w:vAlign w:val="center"/>
          </w:tcPr>
          <w:p>
            <w:pPr>
              <w:snapToGrid w:val="0"/>
              <w:jc w:val="center"/>
            </w:pPr>
            <w:r>
              <w:rPr>
                <w:rFonts w:hint="eastAsia" w:ascii="宋体" w:hAnsi="宋体"/>
                <w:szCs w:val="21"/>
                <w:lang w:val="en-US" w:eastAsia="zh-CN"/>
              </w:rPr>
              <w:t>6</w:t>
            </w:r>
          </w:p>
        </w:tc>
        <w:tc>
          <w:tcPr>
            <w:tcW w:w="3618" w:type="dxa"/>
            <w:tcBorders>
              <w:top w:val="single" w:color="auto" w:sz="4" w:space="0"/>
              <w:left w:val="single" w:color="auto" w:sz="8" w:space="0"/>
              <w:bottom w:val="single" w:color="auto" w:sz="4" w:space="0"/>
              <w:right w:val="single" w:color="auto" w:sz="8" w:space="0"/>
            </w:tcBorders>
            <w:shd w:val="clear" w:color="auto" w:fill="FFFFFF"/>
            <w:vAlign w:val="center"/>
          </w:tcPr>
          <w:p>
            <w:pPr>
              <w:spacing w:line="280" w:lineRule="exact"/>
              <w:jc w:val="left"/>
              <w:rPr>
                <w:rFonts w:hint="eastAsia" w:ascii="宋体" w:hAnsi="宋体"/>
                <w:sz w:val="18"/>
                <w:szCs w:val="18"/>
              </w:rPr>
            </w:pPr>
            <w:r>
              <w:rPr>
                <w:rFonts w:hint="eastAsia" w:ascii="宋体" w:hAnsi="宋体"/>
                <w:sz w:val="18"/>
                <w:szCs w:val="18"/>
              </w:rPr>
              <w:t>内容较好得</w:t>
            </w:r>
            <w:r>
              <w:rPr>
                <w:rFonts w:hint="eastAsia" w:ascii="宋体" w:hAnsi="宋体"/>
                <w:sz w:val="18"/>
                <w:szCs w:val="18"/>
                <w:lang w:val="en-US" w:eastAsia="zh-CN"/>
              </w:rPr>
              <w:t>4.8</w:t>
            </w:r>
            <w:r>
              <w:rPr>
                <w:rFonts w:hint="eastAsia" w:ascii="宋体" w:hAnsi="宋体"/>
                <w:sz w:val="18"/>
                <w:szCs w:val="18"/>
              </w:rPr>
              <w:t>～</w:t>
            </w:r>
            <w:r>
              <w:rPr>
                <w:rFonts w:hint="eastAsia" w:ascii="宋体" w:hAnsi="宋体"/>
                <w:sz w:val="18"/>
                <w:szCs w:val="18"/>
                <w:lang w:val="en-US" w:eastAsia="zh-CN"/>
              </w:rPr>
              <w:t>6</w:t>
            </w:r>
            <w:r>
              <w:rPr>
                <w:rFonts w:hint="eastAsia" w:ascii="宋体" w:hAnsi="宋体"/>
                <w:sz w:val="18"/>
                <w:szCs w:val="18"/>
              </w:rPr>
              <w:t>分，内容一般得</w:t>
            </w:r>
            <w:r>
              <w:rPr>
                <w:rFonts w:hint="eastAsia" w:ascii="宋体" w:hAnsi="宋体"/>
                <w:sz w:val="18"/>
                <w:szCs w:val="18"/>
                <w:lang w:val="en-US" w:eastAsia="zh-CN"/>
              </w:rPr>
              <w:t>3.6</w:t>
            </w:r>
            <w:r>
              <w:rPr>
                <w:rFonts w:hint="eastAsia" w:ascii="宋体" w:hAnsi="宋体"/>
                <w:sz w:val="18"/>
                <w:szCs w:val="18"/>
              </w:rPr>
              <w:t>～</w:t>
            </w:r>
            <w:r>
              <w:rPr>
                <w:rFonts w:hint="eastAsia" w:ascii="宋体" w:hAnsi="宋体"/>
                <w:sz w:val="18"/>
                <w:szCs w:val="18"/>
                <w:lang w:val="en-US" w:eastAsia="zh-CN"/>
              </w:rPr>
              <w:t>4.8</w:t>
            </w:r>
            <w:r>
              <w:rPr>
                <w:rFonts w:hint="eastAsia" w:ascii="宋体" w:hAnsi="宋体"/>
                <w:sz w:val="18"/>
                <w:szCs w:val="18"/>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027" w:type="dxa"/>
            <w:vMerge w:val="continue"/>
            <w:tcBorders>
              <w:left w:val="single" w:color="auto" w:sz="8" w:space="0"/>
              <w:right w:val="single" w:color="auto" w:sz="8" w:space="0"/>
            </w:tcBorders>
            <w:shd w:val="clear" w:color="auto" w:fill="auto"/>
            <w:vAlign w:val="center"/>
          </w:tcPr>
          <w:p>
            <w:pPr>
              <w:spacing w:line="340" w:lineRule="exact"/>
              <w:jc w:val="center"/>
              <w:rPr>
                <w:rFonts w:hint="eastAsia" w:ascii="宋体" w:hAnsi="宋体"/>
                <w:szCs w:val="21"/>
              </w:rPr>
            </w:pPr>
          </w:p>
        </w:tc>
        <w:tc>
          <w:tcPr>
            <w:tcW w:w="1243" w:type="dxa"/>
            <w:vMerge w:val="continue"/>
            <w:tcBorders>
              <w:left w:val="single" w:color="auto" w:sz="8" w:space="0"/>
              <w:right w:val="single" w:color="auto" w:sz="8" w:space="0"/>
            </w:tcBorders>
            <w:shd w:val="clear" w:color="auto" w:fill="auto"/>
            <w:vAlign w:val="center"/>
          </w:tcPr>
          <w:p>
            <w:pPr>
              <w:spacing w:line="340" w:lineRule="exact"/>
              <w:jc w:val="center"/>
              <w:rPr>
                <w:rFonts w:hint="eastAsia" w:ascii="宋体" w:hAnsi="宋体"/>
                <w:szCs w:val="21"/>
              </w:rPr>
            </w:pPr>
          </w:p>
        </w:tc>
        <w:tc>
          <w:tcPr>
            <w:tcW w:w="895" w:type="dxa"/>
            <w:vMerge w:val="continue"/>
            <w:tcBorders>
              <w:left w:val="single" w:color="auto" w:sz="8" w:space="0"/>
              <w:right w:val="single" w:color="auto" w:sz="8" w:space="0"/>
            </w:tcBorders>
            <w:shd w:val="clear" w:color="auto" w:fill="auto"/>
            <w:vAlign w:val="center"/>
          </w:tcPr>
          <w:p>
            <w:pPr>
              <w:spacing w:line="340" w:lineRule="exact"/>
              <w:jc w:val="center"/>
              <w:rPr>
                <w:rFonts w:hint="eastAsia" w:ascii="宋体" w:hAnsi="宋体"/>
                <w:szCs w:val="21"/>
                <w:u w:val="single"/>
              </w:rPr>
            </w:pPr>
          </w:p>
        </w:tc>
        <w:tc>
          <w:tcPr>
            <w:tcW w:w="1929" w:type="dxa"/>
            <w:tcBorders>
              <w:left w:val="single" w:color="auto" w:sz="8" w:space="0"/>
              <w:right w:val="single" w:color="auto" w:sz="8" w:space="0"/>
            </w:tcBorders>
            <w:shd w:val="clear" w:color="auto" w:fill="FFFFFF"/>
            <w:vAlign w:val="center"/>
          </w:tcPr>
          <w:p>
            <w:pPr>
              <w:snapToGrid w:val="0"/>
              <w:jc w:val="left"/>
              <w:rPr>
                <w:rFonts w:ascii="宋体" w:hAnsi="宋体"/>
                <w:kern w:val="1"/>
                <w:szCs w:val="21"/>
              </w:rPr>
            </w:pPr>
            <w:r>
              <w:rPr>
                <w:rFonts w:hint="eastAsia" w:ascii="宋体" w:hAnsi="宋体"/>
                <w:szCs w:val="21"/>
              </w:rPr>
              <w:t>各主要工作质量保证措施</w:t>
            </w:r>
          </w:p>
        </w:tc>
        <w:tc>
          <w:tcPr>
            <w:tcW w:w="927" w:type="dxa"/>
            <w:tcBorders>
              <w:left w:val="single" w:color="auto" w:sz="8" w:space="0"/>
              <w:right w:val="single" w:color="auto" w:sz="8" w:space="0"/>
            </w:tcBorders>
            <w:shd w:val="clear" w:color="auto" w:fill="FFFFFF"/>
            <w:vAlign w:val="center"/>
          </w:tcPr>
          <w:p>
            <w:pPr>
              <w:snapToGrid w:val="0"/>
              <w:jc w:val="center"/>
            </w:pPr>
            <w:r>
              <w:rPr>
                <w:rFonts w:hint="eastAsia" w:ascii="宋体" w:hAnsi="宋体"/>
                <w:szCs w:val="21"/>
                <w:lang w:val="en-US" w:eastAsia="zh-CN"/>
              </w:rPr>
              <w:t>3</w:t>
            </w:r>
          </w:p>
        </w:tc>
        <w:tc>
          <w:tcPr>
            <w:tcW w:w="3618" w:type="dxa"/>
            <w:tcBorders>
              <w:top w:val="single" w:color="auto" w:sz="4" w:space="0"/>
              <w:left w:val="single" w:color="auto" w:sz="8" w:space="0"/>
              <w:bottom w:val="single" w:color="auto" w:sz="4" w:space="0"/>
              <w:right w:val="single" w:color="auto" w:sz="8" w:space="0"/>
            </w:tcBorders>
            <w:shd w:val="clear" w:color="auto" w:fill="FFFFFF"/>
            <w:vAlign w:val="center"/>
          </w:tcPr>
          <w:p>
            <w:pPr>
              <w:spacing w:line="280" w:lineRule="exact"/>
              <w:jc w:val="left"/>
              <w:rPr>
                <w:rFonts w:hint="eastAsia" w:ascii="宋体" w:hAnsi="宋体"/>
                <w:sz w:val="18"/>
                <w:szCs w:val="18"/>
              </w:rPr>
            </w:pPr>
            <w:r>
              <w:rPr>
                <w:rFonts w:hint="eastAsia" w:ascii="宋体" w:hAnsi="宋体"/>
                <w:sz w:val="18"/>
                <w:szCs w:val="18"/>
              </w:rPr>
              <w:t>措施全面、有效、合法、及时，得</w:t>
            </w:r>
            <w:r>
              <w:rPr>
                <w:rFonts w:hint="eastAsia" w:ascii="宋体" w:hAnsi="宋体"/>
                <w:sz w:val="18"/>
                <w:szCs w:val="18"/>
                <w:lang w:val="en-US" w:eastAsia="zh-CN"/>
              </w:rPr>
              <w:t>2.4</w:t>
            </w:r>
            <w:r>
              <w:rPr>
                <w:rFonts w:hint="eastAsia" w:ascii="宋体" w:hAnsi="宋体"/>
                <w:sz w:val="18"/>
                <w:szCs w:val="18"/>
              </w:rPr>
              <w:t>～</w:t>
            </w:r>
            <w:r>
              <w:rPr>
                <w:rFonts w:hint="eastAsia" w:ascii="宋体" w:hAnsi="宋体"/>
                <w:sz w:val="18"/>
                <w:szCs w:val="18"/>
                <w:lang w:val="en-US" w:eastAsia="zh-CN"/>
              </w:rPr>
              <w:t>3</w:t>
            </w:r>
            <w:r>
              <w:rPr>
                <w:rFonts w:hint="eastAsia" w:ascii="宋体" w:hAnsi="宋体"/>
                <w:sz w:val="18"/>
                <w:szCs w:val="18"/>
              </w:rPr>
              <w:t>分，内容一般得</w:t>
            </w:r>
            <w:r>
              <w:rPr>
                <w:rFonts w:hint="eastAsia" w:ascii="宋体" w:hAnsi="宋体"/>
                <w:sz w:val="18"/>
                <w:szCs w:val="18"/>
                <w:lang w:val="en-US" w:eastAsia="zh-CN"/>
              </w:rPr>
              <w:t>1.8</w:t>
            </w:r>
            <w:r>
              <w:rPr>
                <w:rFonts w:hint="eastAsia" w:ascii="宋体" w:hAnsi="宋体"/>
                <w:sz w:val="18"/>
                <w:szCs w:val="18"/>
              </w:rPr>
              <w:t>～</w:t>
            </w:r>
            <w:r>
              <w:rPr>
                <w:rFonts w:hint="eastAsia" w:ascii="宋体" w:hAnsi="宋体"/>
                <w:sz w:val="18"/>
                <w:szCs w:val="18"/>
                <w:lang w:val="en-US" w:eastAsia="zh-CN"/>
              </w:rPr>
              <w:t>2.4</w:t>
            </w:r>
            <w:r>
              <w:rPr>
                <w:rFonts w:hint="eastAsia" w:ascii="宋体" w:hAnsi="宋体"/>
                <w:sz w:val="18"/>
                <w:szCs w:val="18"/>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027" w:type="dxa"/>
            <w:vMerge w:val="continue"/>
            <w:tcBorders>
              <w:left w:val="single" w:color="auto" w:sz="8" w:space="0"/>
              <w:right w:val="single" w:color="auto" w:sz="8" w:space="0"/>
            </w:tcBorders>
            <w:shd w:val="clear" w:color="auto" w:fill="auto"/>
            <w:vAlign w:val="top"/>
          </w:tcPr>
          <w:p>
            <w:pPr>
              <w:spacing w:line="340" w:lineRule="exact"/>
              <w:jc w:val="center"/>
              <w:rPr>
                <w:rFonts w:hint="eastAsia" w:ascii="宋体" w:hAnsi="宋体"/>
                <w:szCs w:val="21"/>
              </w:rPr>
            </w:pPr>
          </w:p>
        </w:tc>
        <w:tc>
          <w:tcPr>
            <w:tcW w:w="1243" w:type="dxa"/>
            <w:vMerge w:val="continue"/>
            <w:shd w:val="clear" w:color="auto" w:fill="auto"/>
            <w:vAlign w:val="center"/>
          </w:tcPr>
          <w:p>
            <w:pPr>
              <w:spacing w:line="340" w:lineRule="exact"/>
              <w:jc w:val="center"/>
              <w:rPr>
                <w:rFonts w:hint="eastAsia" w:ascii="宋体" w:hAnsi="宋体"/>
                <w:szCs w:val="21"/>
              </w:rPr>
            </w:pPr>
          </w:p>
        </w:tc>
        <w:tc>
          <w:tcPr>
            <w:tcW w:w="895" w:type="dxa"/>
            <w:vMerge w:val="continue"/>
            <w:shd w:val="clear" w:color="auto" w:fill="auto"/>
            <w:vAlign w:val="center"/>
          </w:tcPr>
          <w:p>
            <w:pPr>
              <w:spacing w:line="340" w:lineRule="exact"/>
              <w:jc w:val="center"/>
              <w:rPr>
                <w:rFonts w:hint="eastAsia" w:ascii="宋体" w:hAnsi="宋体"/>
                <w:szCs w:val="21"/>
                <w:u w:val="single"/>
              </w:rPr>
            </w:pPr>
          </w:p>
        </w:tc>
        <w:tc>
          <w:tcPr>
            <w:tcW w:w="1929" w:type="dxa"/>
            <w:shd w:val="clear" w:color="auto" w:fill="FFFFFF"/>
            <w:vAlign w:val="center"/>
          </w:tcPr>
          <w:p>
            <w:pPr>
              <w:snapToGrid w:val="0"/>
              <w:jc w:val="left"/>
              <w:rPr>
                <w:rFonts w:ascii="宋体" w:hAnsi="宋体"/>
                <w:kern w:val="1"/>
                <w:szCs w:val="21"/>
              </w:rPr>
            </w:pPr>
            <w:r>
              <w:rPr>
                <w:rFonts w:hint="eastAsia" w:ascii="宋体" w:hAnsi="宋体"/>
                <w:szCs w:val="21"/>
              </w:rPr>
              <w:t>对项目实施过程中的关键点分析及解决方案</w:t>
            </w:r>
          </w:p>
        </w:tc>
        <w:tc>
          <w:tcPr>
            <w:tcW w:w="927" w:type="dxa"/>
            <w:shd w:val="clear" w:color="auto" w:fill="FFFFFF"/>
            <w:vAlign w:val="center"/>
          </w:tcPr>
          <w:p>
            <w:pPr>
              <w:snapToGrid w:val="0"/>
              <w:jc w:val="center"/>
            </w:pPr>
            <w:r>
              <w:rPr>
                <w:rFonts w:hint="eastAsia" w:ascii="宋体" w:hAnsi="宋体"/>
                <w:szCs w:val="21"/>
                <w:lang w:val="en-US" w:eastAsia="zh-CN"/>
              </w:rPr>
              <w:t>8</w:t>
            </w:r>
          </w:p>
        </w:tc>
        <w:tc>
          <w:tcPr>
            <w:tcW w:w="3618" w:type="dxa"/>
            <w:tcBorders>
              <w:top w:val="single" w:color="auto" w:sz="4" w:space="0"/>
              <w:left w:val="single" w:color="auto" w:sz="8" w:space="0"/>
              <w:right w:val="single" w:color="auto" w:sz="8" w:space="0"/>
            </w:tcBorders>
            <w:shd w:val="clear" w:color="auto" w:fill="FFFFFF"/>
            <w:vAlign w:val="center"/>
          </w:tcPr>
          <w:p>
            <w:pPr>
              <w:spacing w:line="280" w:lineRule="exact"/>
              <w:jc w:val="left"/>
              <w:rPr>
                <w:rFonts w:hint="eastAsia" w:ascii="宋体" w:hAnsi="宋体"/>
                <w:sz w:val="18"/>
                <w:szCs w:val="18"/>
              </w:rPr>
            </w:pPr>
            <w:r>
              <w:rPr>
                <w:rFonts w:hint="eastAsia" w:ascii="宋体" w:hAnsi="宋体"/>
                <w:sz w:val="18"/>
                <w:szCs w:val="18"/>
              </w:rPr>
              <w:t>投标人根据本项目的实际情况，提出有针对性的关键点分析及解决方案，得6.4～8分，内容一般得4.8～6.4分。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147" w:hRule="atLeast"/>
        </w:trPr>
        <w:tc>
          <w:tcPr>
            <w:tcW w:w="1027" w:type="dxa"/>
            <w:tcBorders>
              <w:left w:val="single" w:color="auto" w:sz="8" w:space="0"/>
              <w:right w:val="single" w:color="auto" w:sz="8" w:space="0"/>
            </w:tcBorders>
            <w:vAlign w:val="top"/>
          </w:tcPr>
          <w:p>
            <w:pPr>
              <w:spacing w:line="340" w:lineRule="exact"/>
              <w:jc w:val="center"/>
              <w:rPr>
                <w:rFonts w:hint="eastAsia" w:ascii="宋体" w:hAnsi="宋体"/>
                <w:szCs w:val="21"/>
              </w:rPr>
            </w:pPr>
          </w:p>
          <w:p>
            <w:pPr>
              <w:spacing w:line="340" w:lineRule="exact"/>
              <w:jc w:val="center"/>
              <w:rPr>
                <w:rFonts w:hint="eastAsia" w:ascii="宋体" w:hAnsi="宋体"/>
                <w:szCs w:val="21"/>
              </w:rPr>
            </w:pPr>
          </w:p>
          <w:p>
            <w:pPr>
              <w:spacing w:line="340" w:lineRule="exact"/>
              <w:jc w:val="center"/>
              <w:rPr>
                <w:rFonts w:hint="eastAsia" w:ascii="宋体" w:hAnsi="宋体"/>
                <w:szCs w:val="21"/>
              </w:rPr>
            </w:pPr>
          </w:p>
          <w:p>
            <w:pPr>
              <w:spacing w:line="340" w:lineRule="exact"/>
              <w:jc w:val="center"/>
              <w:rPr>
                <w:rFonts w:hint="eastAsia" w:ascii="宋体" w:hAnsi="宋体"/>
                <w:szCs w:val="21"/>
              </w:rPr>
            </w:pPr>
            <w:r>
              <w:rPr>
                <w:rFonts w:hint="eastAsia" w:ascii="宋体" w:hAnsi="宋体"/>
                <w:szCs w:val="21"/>
              </w:rPr>
              <w:t>2.2.4（4）</w:t>
            </w:r>
          </w:p>
        </w:tc>
        <w:tc>
          <w:tcPr>
            <w:tcW w:w="1243" w:type="dxa"/>
            <w:vAlign w:val="center"/>
          </w:tcPr>
          <w:p>
            <w:pPr>
              <w:spacing w:line="340" w:lineRule="exact"/>
              <w:jc w:val="center"/>
              <w:rPr>
                <w:rFonts w:hint="eastAsia" w:ascii="宋体" w:hAnsi="宋体"/>
                <w:szCs w:val="21"/>
              </w:rPr>
            </w:pPr>
            <w:r>
              <w:rPr>
                <w:rFonts w:hint="eastAsia" w:ascii="宋体" w:hAnsi="宋体"/>
                <w:szCs w:val="21"/>
              </w:rPr>
              <w:t>评标价</w:t>
            </w:r>
          </w:p>
        </w:tc>
        <w:tc>
          <w:tcPr>
            <w:tcW w:w="895" w:type="dxa"/>
            <w:vAlign w:val="center"/>
          </w:tcPr>
          <w:p>
            <w:pPr>
              <w:spacing w:line="340" w:lineRule="exact"/>
              <w:jc w:val="center"/>
              <w:rPr>
                <w:rFonts w:hint="eastAsia" w:ascii="宋体" w:hAnsi="宋体"/>
                <w:szCs w:val="21"/>
                <w:u w:val="single"/>
              </w:rPr>
            </w:pPr>
            <w:r>
              <w:rPr>
                <w:rFonts w:hint="eastAsia" w:ascii="宋体" w:hAnsi="宋体"/>
                <w:szCs w:val="21"/>
                <w:u w:val="single"/>
              </w:rPr>
              <w:t>10</w:t>
            </w:r>
            <w:r>
              <w:rPr>
                <w:rFonts w:hint="eastAsia" w:ascii="宋体" w:hAnsi="宋体"/>
                <w:szCs w:val="21"/>
              </w:rPr>
              <w:t>分</w:t>
            </w:r>
          </w:p>
        </w:tc>
        <w:tc>
          <w:tcPr>
            <w:tcW w:w="6474" w:type="dxa"/>
            <w:gridSpan w:val="3"/>
            <w:tcBorders>
              <w:right w:val="single" w:color="auto" w:sz="8" w:space="0"/>
            </w:tcBorders>
            <w:vAlign w:val="center"/>
          </w:tcPr>
          <w:p>
            <w:pPr>
              <w:spacing w:line="360" w:lineRule="exact"/>
              <w:rPr>
                <w:rFonts w:ascii="宋体" w:hAnsi="宋体"/>
                <w:kern w:val="1"/>
                <w:szCs w:val="21"/>
              </w:rPr>
            </w:pPr>
            <w:r>
              <w:rPr>
                <w:rFonts w:ascii="宋体" w:hAnsi="宋体"/>
                <w:kern w:val="1"/>
                <w:szCs w:val="21"/>
              </w:rPr>
              <w:t>投标价得分计算公式示例：</w:t>
            </w:r>
          </w:p>
          <w:p>
            <w:pPr>
              <w:spacing w:line="360" w:lineRule="exact"/>
              <w:ind w:firstLine="248"/>
              <w:rPr>
                <w:rFonts w:ascii="宋体" w:hAnsi="宋体"/>
                <w:kern w:val="1"/>
                <w:szCs w:val="21"/>
              </w:rPr>
            </w:pPr>
            <w:r>
              <w:rPr>
                <w:rFonts w:ascii="宋体" w:hAnsi="宋体"/>
                <w:kern w:val="1"/>
                <w:szCs w:val="21"/>
              </w:rPr>
              <w:t>(1)如果投标人的投标价&gt;评标基准价，则投标价得分＝F－(投标人投标价－评标基准价)/评标基准价×100× E</w:t>
            </w:r>
            <w:r>
              <w:rPr>
                <w:rFonts w:ascii="宋体" w:hAnsi="宋体"/>
                <w:kern w:val="1"/>
                <w:szCs w:val="21"/>
                <w:vertAlign w:val="subscript"/>
              </w:rPr>
              <w:t>1</w:t>
            </w:r>
            <w:r>
              <w:rPr>
                <w:rFonts w:ascii="宋体" w:hAnsi="宋体"/>
                <w:kern w:val="1"/>
                <w:szCs w:val="21"/>
              </w:rPr>
              <w:t>；</w:t>
            </w:r>
          </w:p>
          <w:p>
            <w:pPr>
              <w:spacing w:line="360" w:lineRule="exact"/>
              <w:ind w:firstLine="248"/>
              <w:rPr>
                <w:rFonts w:ascii="宋体" w:hAnsi="宋体"/>
                <w:kern w:val="1"/>
                <w:szCs w:val="21"/>
              </w:rPr>
            </w:pPr>
            <w:r>
              <w:rPr>
                <w:rFonts w:ascii="宋体" w:hAnsi="宋体"/>
                <w:kern w:val="1"/>
                <w:szCs w:val="21"/>
              </w:rPr>
              <w:t>(2)如果投标人的投标价≤评标基准价，则投标价得分＝F＋(投标人投标价－评标基准价)/评标基准价×100× E</w:t>
            </w:r>
            <w:r>
              <w:rPr>
                <w:rFonts w:ascii="宋体" w:hAnsi="宋体"/>
                <w:kern w:val="1"/>
                <w:szCs w:val="21"/>
                <w:vertAlign w:val="subscript"/>
              </w:rPr>
              <w:t>2</w:t>
            </w:r>
            <w:r>
              <w:rPr>
                <w:rFonts w:ascii="宋体" w:hAnsi="宋体"/>
                <w:kern w:val="1"/>
                <w:szCs w:val="21"/>
              </w:rPr>
              <w:t>。</w:t>
            </w:r>
          </w:p>
          <w:p>
            <w:pPr>
              <w:spacing w:line="340" w:lineRule="exact"/>
              <w:jc w:val="left"/>
            </w:pPr>
            <w:r>
              <w:rPr>
                <w:rFonts w:ascii="宋体" w:hAnsi="宋体"/>
                <w:kern w:val="1"/>
                <w:szCs w:val="21"/>
              </w:rPr>
              <w:t>其中F是投标价所占的</w:t>
            </w:r>
            <w:r>
              <w:rPr>
                <w:rFonts w:hint="eastAsia" w:ascii="宋体" w:hAnsi="宋体"/>
                <w:kern w:val="1"/>
                <w:szCs w:val="21"/>
              </w:rPr>
              <w:t>评</w:t>
            </w:r>
            <w:r>
              <w:rPr>
                <w:rFonts w:ascii="宋体" w:hAnsi="宋体"/>
                <w:kern w:val="1"/>
                <w:szCs w:val="21"/>
              </w:rPr>
              <w:t>分</w:t>
            </w:r>
            <w:r>
              <w:rPr>
                <w:rFonts w:hint="eastAsia" w:ascii="宋体" w:hAnsi="宋体"/>
                <w:kern w:val="1"/>
                <w:szCs w:val="21"/>
              </w:rPr>
              <w:t>满分</w:t>
            </w:r>
            <w:r>
              <w:rPr>
                <w:rFonts w:ascii="宋体" w:hAnsi="宋体"/>
                <w:kern w:val="1"/>
                <w:szCs w:val="21"/>
              </w:rPr>
              <w:t>值，E</w:t>
            </w:r>
            <w:r>
              <w:rPr>
                <w:rFonts w:ascii="宋体" w:hAnsi="宋体"/>
                <w:kern w:val="1"/>
                <w:szCs w:val="21"/>
                <w:vertAlign w:val="subscript"/>
              </w:rPr>
              <w:t>1</w:t>
            </w:r>
            <w:r>
              <w:rPr>
                <w:rFonts w:ascii="宋体" w:hAnsi="宋体"/>
                <w:kern w:val="1"/>
                <w:szCs w:val="21"/>
              </w:rPr>
              <w:t>是投标价每高于评标基准价一个百分点的扣分值、E</w:t>
            </w:r>
            <w:r>
              <w:rPr>
                <w:rFonts w:ascii="宋体" w:hAnsi="宋体"/>
                <w:kern w:val="1"/>
                <w:szCs w:val="21"/>
                <w:vertAlign w:val="subscript"/>
              </w:rPr>
              <w:t>2</w:t>
            </w:r>
            <w:r>
              <w:rPr>
                <w:rFonts w:ascii="宋体" w:hAnsi="宋体"/>
                <w:kern w:val="1"/>
                <w:szCs w:val="21"/>
              </w:rPr>
              <w:t>是投标价每低于评标基准价一个百分点的扣分值， E</w:t>
            </w:r>
            <w:r>
              <w:rPr>
                <w:rFonts w:ascii="宋体" w:hAnsi="宋体"/>
                <w:kern w:val="1"/>
                <w:szCs w:val="21"/>
                <w:vertAlign w:val="subscript"/>
              </w:rPr>
              <w:t>1</w:t>
            </w:r>
            <w:r>
              <w:rPr>
                <w:rFonts w:hint="eastAsia" w:ascii="宋体" w:hAnsi="宋体"/>
                <w:kern w:val="1"/>
                <w:szCs w:val="21"/>
              </w:rPr>
              <w:t>=</w:t>
            </w:r>
            <w:r>
              <w:rPr>
                <w:rFonts w:hint="eastAsia" w:ascii="宋体" w:hAnsi="宋体"/>
                <w:kern w:val="1"/>
                <w:szCs w:val="21"/>
                <w:lang w:val="en-US" w:eastAsia="zh-CN"/>
              </w:rPr>
              <w:t>0.5</w:t>
            </w:r>
            <w:r>
              <w:rPr>
                <w:rFonts w:ascii="宋体" w:hAnsi="宋体"/>
                <w:kern w:val="1"/>
                <w:szCs w:val="21"/>
              </w:rPr>
              <w:t>、E</w:t>
            </w:r>
            <w:r>
              <w:rPr>
                <w:rFonts w:ascii="宋体" w:hAnsi="宋体"/>
                <w:kern w:val="1"/>
                <w:szCs w:val="21"/>
                <w:vertAlign w:val="subscript"/>
              </w:rPr>
              <w:t>2</w:t>
            </w:r>
            <w:r>
              <w:rPr>
                <w:rFonts w:hint="eastAsia" w:ascii="宋体" w:hAnsi="宋体"/>
                <w:kern w:val="1"/>
                <w:szCs w:val="21"/>
              </w:rPr>
              <w:t>=0.25，投标价最低得分为0分。</w:t>
            </w:r>
          </w:p>
        </w:tc>
      </w:tr>
    </w:tbl>
    <w:p>
      <w:pPr>
        <w:spacing w:line="360" w:lineRule="auto"/>
        <w:rPr>
          <w:rFonts w:ascii="宋体" w:hAnsi="宋体" w:cs="宋体"/>
          <w:spacing w:val="-6"/>
          <w:sz w:val="24"/>
          <w:szCs w:val="24"/>
        </w:rPr>
      </w:pPr>
    </w:p>
    <w:sectPr>
      <w:pgSz w:w="11906" w:h="16838"/>
      <w:pgMar w:top="1440" w:right="1800" w:bottom="8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Dutch801 Rm BT">
    <w:altName w:val="Times New Roman"/>
    <w:panose1 w:val="00000000000000000000"/>
    <w:charset w:val="00"/>
    <w:family w:val="roman"/>
    <w:pitch w:val="default"/>
    <w:sig w:usb0="00000000" w:usb1="00000000" w:usb2="00000000" w:usb3="00000000" w:csb0="0000001B" w:csb1="00000000"/>
  </w:font>
  <w:font w:name="Microsoft Sans Serif">
    <w:panose1 w:val="020B0604020202020204"/>
    <w:charset w:val="00"/>
    <w:family w:val="swiss"/>
    <w:pitch w:val="default"/>
    <w:sig w:usb0="E1002AFF" w:usb1="C0000002" w:usb2="00000008" w:usb3="00000000" w:csb0="200101FF" w:csb1="20280000"/>
  </w:font>
  <w:font w:name="Century Gothic">
    <w:panose1 w:val="020B0502020202020204"/>
    <w:charset w:val="00"/>
    <w:family w:val="swiss"/>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C256F"/>
    <w:multiLevelType w:val="singleLevel"/>
    <w:tmpl w:val="0E4C256F"/>
    <w:lvl w:ilvl="0" w:tentative="0">
      <w:start w:val="1"/>
      <w:numFmt w:val="upperLetter"/>
      <w:pStyle w:val="2"/>
      <w:lvlText w:val="%1、"/>
      <w:lvlJc w:val="left"/>
      <w:pPr>
        <w:tabs>
          <w:tab w:val="left" w:pos="960"/>
        </w:tabs>
        <w:ind w:left="960" w:hanging="324"/>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95CCA"/>
    <w:rsid w:val="00294736"/>
    <w:rsid w:val="00731284"/>
    <w:rsid w:val="00816DC8"/>
    <w:rsid w:val="00920821"/>
    <w:rsid w:val="009325B0"/>
    <w:rsid w:val="00986165"/>
    <w:rsid w:val="00AF36AF"/>
    <w:rsid w:val="00B54C0F"/>
    <w:rsid w:val="00B86958"/>
    <w:rsid w:val="00D5760D"/>
    <w:rsid w:val="00F95CCA"/>
    <w:rsid w:val="04EC7777"/>
    <w:rsid w:val="05725CF2"/>
    <w:rsid w:val="06266480"/>
    <w:rsid w:val="070B1307"/>
    <w:rsid w:val="0BCD4D53"/>
    <w:rsid w:val="131211B0"/>
    <w:rsid w:val="157971CF"/>
    <w:rsid w:val="2C6C2803"/>
    <w:rsid w:val="32944F0D"/>
    <w:rsid w:val="34F430C0"/>
    <w:rsid w:val="38A3456C"/>
    <w:rsid w:val="38D9106D"/>
    <w:rsid w:val="3E024686"/>
    <w:rsid w:val="40786160"/>
    <w:rsid w:val="4BF437E8"/>
    <w:rsid w:val="4D285819"/>
    <w:rsid w:val="4F936FF4"/>
    <w:rsid w:val="532456F3"/>
    <w:rsid w:val="64102EFC"/>
    <w:rsid w:val="64AD4B20"/>
    <w:rsid w:val="675151CE"/>
    <w:rsid w:val="724E6522"/>
    <w:rsid w:val="79D10EC4"/>
    <w:rsid w:val="7AD046E9"/>
    <w:rsid w:val="7D27399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0" w:lineRule="exact"/>
      <w:jc w:val="both"/>
    </w:pPr>
    <w:rPr>
      <w:rFonts w:ascii="Times New Roman" w:hAnsi="Times New Roman" w:eastAsia="宋体" w:cs="Times New Roman"/>
      <w:kern w:val="2"/>
      <w:sz w:val="21"/>
      <w:szCs w:val="21"/>
      <w:lang w:val="en-US" w:eastAsia="zh-CN" w:bidi="ar-SA"/>
    </w:rPr>
  </w:style>
  <w:style w:type="paragraph" w:styleId="2">
    <w:name w:val="heading 3"/>
    <w:basedOn w:val="1"/>
    <w:next w:val="3"/>
    <w:unhideWhenUsed/>
    <w:qFormat/>
    <w:uiPriority w:val="9"/>
    <w:pPr>
      <w:keepNext/>
      <w:numPr>
        <w:ilvl w:val="0"/>
        <w:numId w:val="1"/>
      </w:numPr>
      <w:jc w:val="center"/>
      <w:outlineLvl w:val="2"/>
    </w:pPr>
    <w:rPr>
      <w:rFonts w:ascii="黑体" w:eastAsia="黑体"/>
      <w:color w:val="000000"/>
      <w:sz w:val="32"/>
      <w:szCs w:val="32"/>
    </w:rPr>
  </w:style>
  <w:style w:type="paragraph" w:styleId="4">
    <w:name w:val="heading 5"/>
    <w:basedOn w:val="1"/>
    <w:next w:val="1"/>
    <w:unhideWhenUsed/>
    <w:qFormat/>
    <w:uiPriority w:val="9"/>
    <w:pPr>
      <w:keepNext/>
      <w:keepLines/>
      <w:spacing w:before="280" w:after="290" w:line="376" w:lineRule="auto"/>
      <w:outlineLvl w:val="4"/>
    </w:pPr>
    <w:rPr>
      <w:b/>
      <w:bCs/>
      <w:sz w:val="28"/>
      <w:szCs w:val="28"/>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unhideWhenUsed/>
    <w:qFormat/>
    <w:uiPriority w:val="99"/>
    <w:pPr>
      <w:ind w:firstLine="420"/>
    </w:pPr>
  </w:style>
  <w:style w:type="paragraph" w:styleId="5">
    <w:name w:val="Body Text"/>
    <w:basedOn w:val="1"/>
    <w:link w:val="16"/>
    <w:unhideWhenUsed/>
    <w:qFormat/>
    <w:uiPriority w:val="99"/>
    <w:pPr>
      <w:spacing w:after="120"/>
    </w:pPr>
  </w:style>
  <w:style w:type="paragraph" w:styleId="6">
    <w:name w:val="Plain Text"/>
    <w:basedOn w:val="1"/>
    <w:unhideWhenUsed/>
    <w:qFormat/>
    <w:uiPriority w:val="99"/>
    <w:rPr>
      <w:rFonts w:ascii="宋体" w:hAnsi="Courier New"/>
    </w:rPr>
  </w:style>
  <w:style w:type="paragraph" w:styleId="7">
    <w:name w:val="footer"/>
    <w:basedOn w:val="1"/>
    <w:link w:val="13"/>
    <w:unhideWhenUsed/>
    <w:qFormat/>
    <w:uiPriority w:val="99"/>
    <w:pPr>
      <w:tabs>
        <w:tab w:val="center" w:pos="4153"/>
        <w:tab w:val="right" w:pos="8306"/>
      </w:tabs>
      <w:snapToGrid w:val="0"/>
      <w:spacing w:line="240" w:lineRule="atLeast"/>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11">
    <w:name w:val="列出段落2"/>
    <w:basedOn w:val="1"/>
    <w:qFormat/>
    <w:uiPriority w:val="99"/>
    <w:pPr>
      <w:spacing w:line="440" w:lineRule="exact"/>
      <w:ind w:firstLine="520" w:firstLineChars="200"/>
    </w:pPr>
    <w:rPr>
      <w:rFonts w:hAnsi="Calibri"/>
      <w:sz w:val="26"/>
      <w:szCs w:val="26"/>
    </w:rPr>
  </w:style>
  <w:style w:type="character" w:customStyle="1" w:styleId="12">
    <w:name w:val="页眉 Char"/>
    <w:basedOn w:val="9"/>
    <w:link w:val="8"/>
    <w:semiHidden/>
    <w:qFormat/>
    <w:uiPriority w:val="99"/>
    <w:rPr>
      <w:rFonts w:ascii="Times New Roman" w:hAnsi="Times New Roman" w:eastAsia="宋体" w:cs="Times New Roman"/>
      <w:kern w:val="2"/>
      <w:sz w:val="18"/>
      <w:szCs w:val="18"/>
    </w:rPr>
  </w:style>
  <w:style w:type="character" w:customStyle="1" w:styleId="13">
    <w:name w:val="页脚 Char"/>
    <w:basedOn w:val="9"/>
    <w:link w:val="7"/>
    <w:semiHidden/>
    <w:qFormat/>
    <w:uiPriority w:val="99"/>
    <w:rPr>
      <w:rFonts w:ascii="Times New Roman" w:hAnsi="Times New Roman" w:eastAsia="宋体" w:cs="Times New Roman"/>
      <w:kern w:val="2"/>
      <w:sz w:val="18"/>
      <w:szCs w:val="18"/>
    </w:rPr>
  </w:style>
  <w:style w:type="character" w:customStyle="1" w:styleId="14">
    <w:name w:val="表格文字格式 字符"/>
    <w:basedOn w:val="9"/>
    <w:link w:val="15"/>
    <w:qFormat/>
    <w:uiPriority w:val="0"/>
    <w:rPr>
      <w:rFonts w:ascii="楷体_GB2312" w:hAnsi="Times New Roman" w:eastAsia="楷体_GB2312" w:cs="Times New Roman"/>
      <w:spacing w:val="22"/>
      <w:sz w:val="28"/>
    </w:rPr>
  </w:style>
  <w:style w:type="paragraph" w:customStyle="1" w:styleId="15">
    <w:name w:val="表格文字格式"/>
    <w:basedOn w:val="1"/>
    <w:link w:val="14"/>
    <w:qFormat/>
    <w:uiPriority w:val="0"/>
    <w:pPr>
      <w:autoSpaceDE w:val="0"/>
      <w:autoSpaceDN w:val="0"/>
      <w:adjustRightInd w:val="0"/>
      <w:spacing w:line="440" w:lineRule="exact"/>
      <w:ind w:firstLine="50" w:firstLineChars="50"/>
      <w:textAlignment w:val="baseline"/>
    </w:pPr>
    <w:rPr>
      <w:rFonts w:ascii="楷体_GB2312" w:eastAsia="楷体_GB2312"/>
      <w:spacing w:val="22"/>
      <w:kern w:val="0"/>
      <w:sz w:val="28"/>
      <w:szCs w:val="20"/>
    </w:rPr>
  </w:style>
  <w:style w:type="character" w:customStyle="1" w:styleId="16">
    <w:name w:val="正文文本 Char"/>
    <w:basedOn w:val="9"/>
    <w:link w:val="5"/>
    <w:semiHidden/>
    <w:qFormat/>
    <w:uiPriority w:val="99"/>
    <w:rPr>
      <w:rFonts w:ascii="Times New Roman" w:hAnsi="Times New Roman" w:eastAsia="宋体" w:cs="Times New Roman"/>
      <w:kern w:val="2"/>
      <w:sz w:val="21"/>
      <w:szCs w:val="21"/>
    </w:rPr>
  </w:style>
  <w:style w:type="paragraph" w:customStyle="1" w:styleId="17">
    <w:name w:val="标题 3 New"/>
    <w:next w:val="18"/>
    <w:qFormat/>
    <w:uiPriority w:val="0"/>
    <w:pPr>
      <w:keepNext/>
      <w:keepLines/>
      <w:spacing w:line="360" w:lineRule="auto"/>
      <w:ind w:firstLine="200" w:firstLineChars="200"/>
      <w:outlineLvl w:val="2"/>
    </w:pPr>
    <w:rPr>
      <w:rFonts w:asciiTheme="minorHAnsi" w:hAnsiTheme="minorHAnsi" w:eastAsiaTheme="minorEastAsia" w:cstheme="minorBidi"/>
      <w:b/>
      <w:bCs/>
      <w:sz w:val="21"/>
      <w:szCs w:val="32"/>
      <w:lang w:val="en-US" w:eastAsia="zh-CN" w:bidi="ar-SA"/>
    </w:rPr>
  </w:style>
  <w:style w:type="paragraph" w:customStyle="1" w:styleId="18">
    <w:name w:val="正文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正文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
    <w:name w:val="正文 New New New New New New New New New New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0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1309</Words>
  <Characters>7466</Characters>
  <Lines>62</Lines>
  <Paragraphs>17</Paragraphs>
  <ScaleCrop>false</ScaleCrop>
  <LinksUpToDate>false</LinksUpToDate>
  <CharactersWithSpaces>8758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2017-09-13T07:55:00Z</dcterms:created>
  <dc:creator>USER</dc:creator>
  <cp:lastModifiedBy>user</cp:lastModifiedBy>
  <dcterms:modified xsi:type="dcterms:W3CDTF">2019-04-29T02:37:35Z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