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rPr>
          <w:rFonts w:ascii="黑体" w:hAnsi="黑体" w:eastAsia="黑体"/>
          <w:sz w:val="32"/>
          <w:szCs w:val="32"/>
        </w:rPr>
      </w:pPr>
    </w:p>
    <w:p>
      <w:pPr>
        <w:spacing w:line="360" w:lineRule="auto"/>
        <w:rPr>
          <w:rFonts w:hAnsi="宋体"/>
        </w:rPr>
      </w:pPr>
    </w:p>
    <w:p>
      <w:pPr>
        <w:spacing w:line="360" w:lineRule="auto"/>
        <w:rPr>
          <w:rFonts w:hAnsi="宋体"/>
        </w:rPr>
      </w:pPr>
    </w:p>
    <w:p>
      <w:pPr>
        <w:jc w:val="center"/>
        <w:rPr>
          <w:rFonts w:ascii="方正小标宋简体" w:eastAsia="方正小标宋简体"/>
          <w:sz w:val="44"/>
          <w:szCs w:val="32"/>
        </w:rPr>
      </w:pPr>
      <w:bookmarkStart w:id="10" w:name="_GoBack"/>
      <w:r>
        <w:rPr>
          <w:rFonts w:hint="eastAsia" w:ascii="方正小标宋简体" w:eastAsia="方正小标宋简体"/>
          <w:sz w:val="44"/>
          <w:szCs w:val="32"/>
        </w:rPr>
        <w:t>陕西省交通运输厅</w:t>
      </w:r>
    </w:p>
    <w:p>
      <w:pPr>
        <w:jc w:val="center"/>
        <w:rPr>
          <w:rFonts w:ascii="方正小标宋简体" w:eastAsia="方正小标宋简体"/>
          <w:sz w:val="44"/>
          <w:szCs w:val="32"/>
        </w:rPr>
      </w:pPr>
      <w:r>
        <w:rPr>
          <w:rFonts w:hint="eastAsia" w:ascii="方正小标宋简体" w:eastAsia="方正小标宋简体"/>
          <w:sz w:val="44"/>
          <w:szCs w:val="32"/>
        </w:rPr>
        <w:t>网络安全管理暂行办法</w:t>
      </w:r>
    </w:p>
    <w:bookmarkEnd w:id="10"/>
    <w:p>
      <w:pPr>
        <w:jc w:val="center"/>
        <w:rPr>
          <w:rFonts w:ascii="方正小标宋简体" w:eastAsia="方正小标宋简体"/>
          <w:sz w:val="44"/>
          <w:szCs w:val="32"/>
        </w:rPr>
      </w:pPr>
    </w:p>
    <w:p>
      <w:pPr>
        <w:spacing w:line="360" w:lineRule="auto"/>
        <w:rPr>
          <w:rFonts w:hAnsi="宋体"/>
        </w:rPr>
      </w:pPr>
    </w:p>
    <w:p>
      <w:pPr>
        <w:spacing w:line="360" w:lineRule="auto"/>
        <w:rPr>
          <w:rFonts w:hAnsi="宋体"/>
        </w:rPr>
      </w:pPr>
    </w:p>
    <w:p>
      <w:pPr>
        <w:spacing w:line="360" w:lineRule="auto"/>
        <w:rPr>
          <w:rFonts w:hAnsi="宋体"/>
        </w:rPr>
      </w:pPr>
    </w:p>
    <w:p>
      <w:pPr>
        <w:spacing w:line="360" w:lineRule="auto"/>
        <w:rPr>
          <w:rFonts w:hAnsi="宋体"/>
        </w:rPr>
      </w:pPr>
    </w:p>
    <w:p>
      <w:pPr>
        <w:spacing w:line="360" w:lineRule="auto"/>
        <w:rPr>
          <w:rFonts w:hAnsi="宋体"/>
        </w:rPr>
      </w:pPr>
    </w:p>
    <w:p>
      <w:pPr>
        <w:spacing w:line="360" w:lineRule="auto"/>
        <w:rPr>
          <w:rFonts w:hAnsi="宋体"/>
        </w:rPr>
      </w:pPr>
    </w:p>
    <w:p>
      <w:pPr>
        <w:spacing w:line="360" w:lineRule="auto"/>
        <w:rPr>
          <w:rFonts w:hAnsi="宋体"/>
        </w:rPr>
      </w:pPr>
    </w:p>
    <w:p>
      <w:pPr>
        <w:spacing w:line="360" w:lineRule="auto"/>
        <w:rPr>
          <w:rFonts w:hAnsi="宋体"/>
        </w:rPr>
      </w:pPr>
    </w:p>
    <w:p>
      <w:pPr>
        <w:spacing w:line="360" w:lineRule="auto"/>
        <w:rPr>
          <w:rFonts w:hAnsi="宋体"/>
        </w:rPr>
      </w:pPr>
    </w:p>
    <w:p>
      <w:pPr>
        <w:spacing w:line="360" w:lineRule="auto"/>
        <w:rPr>
          <w:rFonts w:hAnsi="宋体"/>
        </w:rPr>
      </w:pPr>
    </w:p>
    <w:p>
      <w:pPr>
        <w:spacing w:line="360" w:lineRule="auto"/>
        <w:rPr>
          <w:rFonts w:hAnsi="宋体"/>
        </w:rPr>
      </w:pPr>
    </w:p>
    <w:p>
      <w:pPr>
        <w:spacing w:line="360" w:lineRule="auto"/>
        <w:rPr>
          <w:rFonts w:hAnsi="宋体"/>
        </w:rPr>
      </w:pPr>
    </w:p>
    <w:p>
      <w:pPr>
        <w:spacing w:line="360" w:lineRule="auto"/>
        <w:jc w:val="center"/>
        <w:rPr>
          <w:rFonts w:ascii="方正小标宋简体" w:hAnsi="微软雅黑" w:eastAsia="方正小标宋简体" w:cs="微软雅黑"/>
          <w:sz w:val="28"/>
          <w:szCs w:val="44"/>
        </w:rPr>
      </w:pPr>
      <w:r>
        <w:rPr>
          <w:rFonts w:hint="eastAsia" w:ascii="方正小标宋简体" w:hAnsi="微软雅黑" w:eastAsia="方正小标宋简体" w:cs="微软雅黑"/>
          <w:sz w:val="28"/>
          <w:szCs w:val="44"/>
        </w:rPr>
        <w:t>2019年1月</w:t>
      </w:r>
    </w:p>
    <w:p>
      <w:pPr>
        <w:spacing w:line="360" w:lineRule="auto"/>
        <w:jc w:val="center"/>
        <w:rPr>
          <w:rFonts w:ascii="方正小标宋简体" w:hAnsi="微软雅黑" w:eastAsia="方正小标宋简体" w:cs="微软雅黑"/>
          <w:sz w:val="28"/>
          <w:szCs w:val="44"/>
        </w:rPr>
      </w:pPr>
      <w:r>
        <w:rPr>
          <w:rFonts w:hint="eastAsia" w:ascii="方正小标宋简体" w:hAnsi="微软雅黑" w:eastAsia="方正小标宋简体" w:cs="微软雅黑"/>
          <w:sz w:val="28"/>
          <w:szCs w:val="44"/>
        </w:rPr>
        <w:t>陕西省交通运输厅</w:t>
      </w:r>
    </w:p>
    <w:p>
      <w:pPr>
        <w:spacing w:line="360" w:lineRule="auto"/>
        <w:rPr>
          <w:rFonts w:hAnsi="宋体"/>
        </w:rPr>
      </w:pPr>
    </w:p>
    <w:p>
      <w:pPr>
        <w:widowControl/>
        <w:jc w:val="left"/>
        <w:sectPr>
          <w:pgSz w:w="11906" w:h="16838"/>
          <w:pgMar w:top="1985" w:right="1418" w:bottom="1701" w:left="1418" w:header="851" w:footer="794" w:gutter="0"/>
          <w:pgNumType w:start="1"/>
          <w:cols w:space="720" w:num="1"/>
          <w:titlePg/>
          <w:docGrid w:type="lines" w:linePitch="312" w:charSpace="0"/>
        </w:sectPr>
      </w:pPr>
      <w:bookmarkStart w:id="0" w:name="_Toc304882604"/>
      <w:bookmarkStart w:id="1" w:name="_Toc304882475"/>
      <w:bookmarkStart w:id="2" w:name="_Toc304975496"/>
      <w:bookmarkStart w:id="3" w:name="_Toc304882694"/>
      <w:bookmarkStart w:id="4" w:name="_Toc304882371"/>
      <w:bookmarkStart w:id="5" w:name="_Toc304882672"/>
      <w:bookmarkStart w:id="6" w:name="_Toc305057563"/>
    </w:p>
    <w:p>
      <w:pPr>
        <w:pStyle w:val="2"/>
        <w:spacing w:before="260" w:beforeLines="0" w:after="260" w:afterLines="0"/>
        <w:jc w:val="center"/>
        <w:rPr>
          <w:rFonts w:ascii="黑体" w:hAnsi="黑体"/>
          <w:b/>
        </w:rPr>
      </w:pPr>
      <w:bookmarkStart w:id="7" w:name="_Toc305694849"/>
      <w:r>
        <w:rPr>
          <w:rFonts w:hint="eastAsia" w:ascii="黑体" w:hAnsi="黑体"/>
          <w:b/>
        </w:rPr>
        <w:t xml:space="preserve">第一章 </w:t>
      </w:r>
      <w:bookmarkEnd w:id="0"/>
      <w:bookmarkEnd w:id="1"/>
      <w:bookmarkEnd w:id="2"/>
      <w:bookmarkEnd w:id="3"/>
      <w:bookmarkEnd w:id="4"/>
      <w:bookmarkEnd w:id="5"/>
      <w:bookmarkEnd w:id="6"/>
      <w:bookmarkEnd w:id="7"/>
      <w:r>
        <w:rPr>
          <w:rFonts w:hint="eastAsia" w:ascii="黑体" w:hAnsi="黑体"/>
          <w:b/>
        </w:rPr>
        <w:t>总则</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为加强陕西省交通运输厅网络安全管理，落实网络安全责任，提高网络安全保障工作水平，健全网络安全管理制度和运行安全机制，依据《中华人民共和国网络安全法》、国家有关法律法规和交通运输部网络安全有关规定，特制定本办法。</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陕西省交通运输厅网络安全工作按照“积极利用、科学发展、依法管理、确保安全”的方针和“同步规划、同步建设、同步使用”的要求，坚持“谁主管谁负责，谁运行谁负责”和</w:t>
      </w:r>
      <w:r>
        <w:rPr>
          <w:rFonts w:ascii="仿宋_GB2312" w:hAnsi="宋体" w:eastAsia="仿宋_GB2312" w:cs="黑体"/>
          <w:color w:val="000000"/>
          <w:sz w:val="32"/>
          <w:szCs w:val="32"/>
        </w:rPr>
        <w:t>“属地管理”原则</w:t>
      </w:r>
      <w:r>
        <w:rPr>
          <w:rFonts w:hint="eastAsia" w:ascii="仿宋_GB2312" w:hAnsi="宋体" w:eastAsia="仿宋_GB2312" w:cs="黑体"/>
          <w:color w:val="000000"/>
          <w:sz w:val="32"/>
          <w:szCs w:val="32"/>
        </w:rPr>
        <w:t>，实行分级管理、分工负责。</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本办法适用于陕西省交通运输厅网络和信息系统的建设、运行、使用及监管等方面的安全管理。</w:t>
      </w:r>
      <w:r>
        <w:rPr>
          <w:rFonts w:ascii="仿宋_GB2312" w:hAnsi="宋体" w:eastAsia="仿宋_GB2312" w:cs="黑体"/>
          <w:color w:val="000000"/>
          <w:sz w:val="32"/>
          <w:szCs w:val="32"/>
        </w:rPr>
        <w:t>涉密信息系统网络安全管理，按照国家涉密信息系统相关规定执行。</w:t>
      </w:r>
    </w:p>
    <w:p>
      <w:pPr>
        <w:pStyle w:val="2"/>
        <w:spacing w:before="260" w:beforeLines="0" w:after="260" w:afterLines="0"/>
        <w:jc w:val="center"/>
        <w:rPr>
          <w:rFonts w:ascii="黑体" w:hAnsi="黑体"/>
          <w:b/>
        </w:rPr>
      </w:pPr>
      <w:bookmarkStart w:id="8" w:name="_Toc5294705"/>
      <w:r>
        <w:rPr>
          <w:rFonts w:hint="eastAsia" w:ascii="黑体" w:hAnsi="黑体"/>
          <w:b/>
        </w:rPr>
        <w:t>第二章 安全职责</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陕西省交通运输厅是陕西省交通运输网络安全工作主管部门，依法履行综合协调和指导监管职责：</w:t>
      </w:r>
    </w:p>
    <w:p>
      <w:pPr>
        <w:spacing w:line="600" w:lineRule="exact"/>
        <w:ind w:firstLine="480" w:firstLineChars="150"/>
        <w:rPr>
          <w:rFonts w:ascii="仿宋_GB2312" w:hAnsi="宋体" w:eastAsia="仿宋_GB2312" w:cs="黑体"/>
          <w:color w:val="000000"/>
          <w:sz w:val="32"/>
          <w:szCs w:val="32"/>
        </w:rPr>
      </w:pPr>
      <w:r>
        <w:rPr>
          <w:rFonts w:hint="eastAsia" w:ascii="仿宋_GB2312" w:hAnsi="宋体" w:eastAsia="仿宋_GB2312" w:cs="黑体"/>
          <w:color w:val="000000"/>
          <w:sz w:val="32"/>
          <w:szCs w:val="32"/>
        </w:rPr>
        <w:t>（一）依照国家网络安全法律、法规和标准，编制厅网络安全规划、管理制度和规范，指导厅直各单位和处室开展网络安全工作；</w:t>
      </w:r>
    </w:p>
    <w:p>
      <w:pPr>
        <w:spacing w:line="600" w:lineRule="exact"/>
        <w:ind w:firstLine="480" w:firstLineChars="150"/>
        <w:rPr>
          <w:rFonts w:ascii="仿宋_GB2312" w:hAnsi="宋体" w:eastAsia="仿宋_GB2312" w:cs="黑体"/>
          <w:color w:val="000000"/>
          <w:sz w:val="32"/>
          <w:szCs w:val="32"/>
        </w:rPr>
      </w:pPr>
      <w:r>
        <w:rPr>
          <w:rFonts w:hint="eastAsia" w:ascii="仿宋_GB2312" w:hAnsi="宋体" w:eastAsia="仿宋_GB2312" w:cs="黑体"/>
          <w:color w:val="000000"/>
          <w:sz w:val="32"/>
          <w:szCs w:val="32"/>
        </w:rPr>
        <w:t>（二）组织重大网络安全基础设施建设，研究解决涉及网络安全的重大事项；</w:t>
      </w:r>
    </w:p>
    <w:p>
      <w:pPr>
        <w:spacing w:line="600" w:lineRule="exact"/>
        <w:ind w:firstLine="480" w:firstLineChars="150"/>
        <w:rPr>
          <w:rFonts w:ascii="仿宋_GB2312" w:hAnsi="宋体" w:eastAsia="仿宋_GB2312" w:cs="黑体"/>
          <w:color w:val="000000"/>
          <w:sz w:val="32"/>
          <w:szCs w:val="32"/>
        </w:rPr>
      </w:pPr>
      <w:r>
        <w:rPr>
          <w:rFonts w:hint="eastAsia" w:ascii="仿宋_GB2312" w:hAnsi="宋体" w:eastAsia="仿宋_GB2312" w:cs="黑体"/>
          <w:color w:val="000000"/>
          <w:sz w:val="32"/>
          <w:szCs w:val="32"/>
        </w:rPr>
        <w:t>（三）组织开展网络安全检查，配合交通运输部、省委网信办、省公安厅等部门开展网络安全工作，监督厅直各单位和处室履行、落实网络安全责任情况；</w:t>
      </w:r>
    </w:p>
    <w:p>
      <w:pPr>
        <w:spacing w:line="600" w:lineRule="exact"/>
        <w:ind w:firstLine="480" w:firstLineChars="150"/>
        <w:rPr>
          <w:rFonts w:ascii="仿宋_GB2312" w:hAnsi="宋体" w:eastAsia="仿宋_GB2312" w:cs="黑体"/>
          <w:color w:val="000000"/>
          <w:sz w:val="32"/>
          <w:szCs w:val="32"/>
        </w:rPr>
      </w:pPr>
      <w:r>
        <w:rPr>
          <w:rFonts w:hint="eastAsia" w:ascii="仿宋_GB2312" w:hAnsi="宋体" w:eastAsia="仿宋_GB2312" w:cs="黑体"/>
          <w:color w:val="000000"/>
          <w:sz w:val="32"/>
          <w:szCs w:val="32"/>
        </w:rPr>
        <w:t>（四）指导和监督厅直各单位和处室开展等级保护、风险评估、关键信息基础设施的认定防护工作；</w:t>
      </w:r>
    </w:p>
    <w:p>
      <w:pPr>
        <w:spacing w:line="600" w:lineRule="exact"/>
        <w:ind w:firstLine="480" w:firstLineChars="150"/>
        <w:rPr>
          <w:rFonts w:ascii="仿宋_GB2312" w:hAnsi="宋体" w:eastAsia="仿宋_GB2312" w:cs="黑体"/>
          <w:color w:val="000000"/>
          <w:sz w:val="32"/>
          <w:szCs w:val="32"/>
        </w:rPr>
      </w:pPr>
      <w:r>
        <w:rPr>
          <w:rFonts w:hint="eastAsia" w:ascii="仿宋_GB2312" w:hAnsi="宋体" w:eastAsia="仿宋_GB2312" w:cs="黑体"/>
          <w:color w:val="000000"/>
          <w:sz w:val="32"/>
          <w:szCs w:val="32"/>
        </w:rPr>
        <w:t>（五）建立陕西省交通运输厅网络安全监测预警、信息通报和应急处置机制，制定网络安全应急预案，通报网络安全信息，调查处理重大网络安全事件；</w:t>
      </w:r>
    </w:p>
    <w:p>
      <w:pPr>
        <w:spacing w:line="600" w:lineRule="exact"/>
        <w:ind w:firstLine="480" w:firstLineChars="150"/>
        <w:rPr>
          <w:rFonts w:ascii="仿宋_GB2312" w:hAnsi="宋体" w:eastAsia="仿宋_GB2312" w:cs="黑体"/>
          <w:color w:val="000000"/>
          <w:sz w:val="32"/>
          <w:szCs w:val="32"/>
        </w:rPr>
      </w:pPr>
      <w:r>
        <w:rPr>
          <w:rFonts w:hint="eastAsia" w:ascii="仿宋_GB2312" w:hAnsi="宋体" w:eastAsia="仿宋_GB2312" w:cs="黑体"/>
          <w:color w:val="000000"/>
          <w:sz w:val="32"/>
          <w:szCs w:val="32"/>
        </w:rPr>
        <w:t>（六）组织开展网络安全宣传和培训工作。</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 xml:space="preserve">厅直各单位负责本单位网络安全工作，指导监管其下属单位开展网络安全工作，履行下列职责： </w:t>
      </w:r>
    </w:p>
    <w:p>
      <w:pPr>
        <w:spacing w:line="600" w:lineRule="exact"/>
        <w:ind w:firstLine="480" w:firstLineChars="150"/>
        <w:rPr>
          <w:rFonts w:ascii="仿宋_GB2312" w:hAnsi="宋体" w:eastAsia="仿宋_GB2312" w:cs="黑体"/>
          <w:color w:val="000000"/>
          <w:sz w:val="32"/>
          <w:szCs w:val="32"/>
        </w:rPr>
      </w:pPr>
      <w:r>
        <w:rPr>
          <w:rFonts w:hint="eastAsia" w:ascii="仿宋_GB2312" w:hAnsi="宋体" w:eastAsia="仿宋_GB2312" w:cs="黑体"/>
          <w:color w:val="000000"/>
          <w:sz w:val="32"/>
          <w:szCs w:val="32"/>
        </w:rPr>
        <w:t>（一）执行国家和行业网络安全法律、法规与标准，编制本单位网络安全规划，制定本单位网络安全管理制度；</w:t>
      </w:r>
    </w:p>
    <w:p>
      <w:pPr>
        <w:spacing w:line="600" w:lineRule="exact"/>
        <w:ind w:firstLine="480" w:firstLineChars="150"/>
        <w:rPr>
          <w:rFonts w:ascii="仿宋_GB2312" w:hAnsi="宋体" w:eastAsia="仿宋_GB2312" w:cs="黑体"/>
          <w:color w:val="000000"/>
          <w:sz w:val="32"/>
          <w:szCs w:val="32"/>
        </w:rPr>
      </w:pPr>
      <w:r>
        <w:rPr>
          <w:rFonts w:hint="eastAsia" w:ascii="仿宋_GB2312" w:hAnsi="宋体" w:eastAsia="仿宋_GB2312" w:cs="黑体"/>
          <w:color w:val="000000"/>
          <w:sz w:val="32"/>
          <w:szCs w:val="32"/>
        </w:rPr>
        <w:t>（二）落实网络安全等级保护制度，开展风险评估、安全自查等工作，加强关键信息基础设施的安全防护；</w:t>
      </w:r>
    </w:p>
    <w:p>
      <w:pPr>
        <w:spacing w:line="600" w:lineRule="exact"/>
        <w:ind w:firstLine="480" w:firstLineChars="150"/>
        <w:rPr>
          <w:rFonts w:ascii="仿宋_GB2312" w:hAnsi="宋体" w:eastAsia="仿宋_GB2312" w:cs="黑体"/>
          <w:color w:val="000000"/>
          <w:sz w:val="32"/>
          <w:szCs w:val="32"/>
        </w:rPr>
      </w:pPr>
      <w:r>
        <w:rPr>
          <w:rFonts w:hint="eastAsia" w:ascii="仿宋_GB2312" w:hAnsi="宋体" w:eastAsia="仿宋_GB2312" w:cs="黑体"/>
          <w:color w:val="000000"/>
          <w:sz w:val="32"/>
          <w:szCs w:val="32"/>
        </w:rPr>
        <w:t>（三）加强网络安全监测预警，落实网络安全信息通报制度，制定本单位及下属单位网络安全应急预案，组织开展网络安全应急演练，采取有效措施，应对网络安全事件；</w:t>
      </w:r>
    </w:p>
    <w:p>
      <w:pPr>
        <w:spacing w:line="600" w:lineRule="exact"/>
        <w:ind w:firstLine="480" w:firstLineChars="150"/>
        <w:rPr>
          <w:rFonts w:ascii="仿宋_GB2312" w:hAnsi="宋体" w:eastAsia="仿宋_GB2312" w:cs="黑体"/>
          <w:color w:val="000000"/>
          <w:sz w:val="32"/>
          <w:szCs w:val="32"/>
        </w:rPr>
      </w:pPr>
      <w:r>
        <w:rPr>
          <w:rFonts w:hint="eastAsia" w:ascii="仿宋_GB2312" w:hAnsi="宋体" w:eastAsia="仿宋_GB2312" w:cs="黑体"/>
          <w:color w:val="000000"/>
          <w:sz w:val="32"/>
          <w:szCs w:val="32"/>
        </w:rPr>
        <w:t>（四）配合上级网络安全管理部门进行网络安全检查和事件调查，对发现问题及时进行整改；</w:t>
      </w:r>
    </w:p>
    <w:p>
      <w:pPr>
        <w:spacing w:line="600" w:lineRule="exact"/>
        <w:ind w:firstLine="480" w:firstLineChars="150"/>
        <w:rPr>
          <w:rFonts w:ascii="仿宋_GB2312" w:hAnsi="宋体" w:eastAsia="仿宋_GB2312" w:cs="黑体"/>
          <w:color w:val="000000"/>
          <w:sz w:val="32"/>
          <w:szCs w:val="32"/>
        </w:rPr>
      </w:pPr>
      <w:r>
        <w:rPr>
          <w:rFonts w:hint="eastAsia" w:ascii="仿宋_GB2312" w:hAnsi="宋体" w:eastAsia="仿宋_GB2312" w:cs="黑体"/>
          <w:color w:val="000000"/>
          <w:sz w:val="32"/>
          <w:szCs w:val="32"/>
        </w:rPr>
        <w:t>（五）组织开展本单位及下属单位网络安全宣传和培训工作。</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ascii="仿宋_GB2312" w:hAnsi="宋体" w:eastAsia="仿宋_GB2312" w:cs="黑体"/>
          <w:color w:val="000000"/>
          <w:sz w:val="32"/>
          <w:szCs w:val="32"/>
        </w:rPr>
        <w:t>市交通运输主管部门在市委</w:t>
      </w:r>
      <w:r>
        <w:rPr>
          <w:rFonts w:hint="eastAsia" w:ascii="仿宋_GB2312" w:hAnsi="宋体" w:eastAsia="仿宋_GB2312" w:cs="黑体"/>
          <w:color w:val="000000"/>
          <w:sz w:val="32"/>
          <w:szCs w:val="32"/>
        </w:rPr>
        <w:t>、</w:t>
      </w:r>
      <w:r>
        <w:rPr>
          <w:rFonts w:ascii="仿宋_GB2312" w:hAnsi="宋体" w:eastAsia="仿宋_GB2312" w:cs="黑体"/>
          <w:color w:val="000000"/>
          <w:sz w:val="32"/>
          <w:szCs w:val="32"/>
        </w:rPr>
        <w:t>市政府的领导下，贯彻落实国家、行业、地方相关网络安全法律法规和政策制度，负责本地区交通运输网络安全工作的综合协调和指导监管，配合</w:t>
      </w:r>
      <w:r>
        <w:rPr>
          <w:rFonts w:hint="eastAsia" w:ascii="仿宋_GB2312" w:hAnsi="宋体" w:eastAsia="仿宋_GB2312" w:cs="黑体"/>
          <w:color w:val="000000"/>
          <w:sz w:val="32"/>
          <w:szCs w:val="32"/>
        </w:rPr>
        <w:t>省</w:t>
      </w:r>
      <w:r>
        <w:rPr>
          <w:rFonts w:ascii="仿宋_GB2312" w:hAnsi="宋体" w:eastAsia="仿宋_GB2312" w:cs="黑体"/>
          <w:color w:val="000000"/>
          <w:sz w:val="32"/>
          <w:szCs w:val="32"/>
        </w:rPr>
        <w:t>交通运输主管部门和</w:t>
      </w:r>
      <w:r>
        <w:rPr>
          <w:rFonts w:hint="eastAsia" w:ascii="仿宋_GB2312" w:hAnsi="宋体" w:eastAsia="仿宋_GB2312" w:cs="黑体"/>
          <w:color w:val="000000"/>
          <w:sz w:val="32"/>
          <w:szCs w:val="32"/>
        </w:rPr>
        <w:t>市</w:t>
      </w:r>
      <w:r>
        <w:rPr>
          <w:rFonts w:ascii="仿宋_GB2312" w:hAnsi="宋体" w:eastAsia="仿宋_GB2312" w:cs="黑体"/>
          <w:color w:val="000000"/>
          <w:sz w:val="32"/>
          <w:szCs w:val="32"/>
        </w:rPr>
        <w:t>网信、公安等部门开展相关工作</w:t>
      </w:r>
      <w:r>
        <w:rPr>
          <w:rFonts w:hint="eastAsia" w:ascii="仿宋_GB2312" w:hAnsi="宋体" w:eastAsia="仿宋_GB2312" w:cs="黑体"/>
          <w:color w:val="000000"/>
          <w:sz w:val="32"/>
          <w:szCs w:val="32"/>
        </w:rPr>
        <w:t>。</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陕西省交通运输厅网络安全和信息化领导小组是省厅网络安全和信息化工作管理机构，厅网信办是日常办事机构(设在厅科技处),承担网络安全管理日常工作；省交通运行监测中心受省厅委托行使网络安全管理职能；厅直各单位明确本单位网络安全管理部门，设置网络安全员专职岗位，落实网络安全责任制，</w:t>
      </w:r>
      <w:r>
        <w:rPr>
          <w:rFonts w:hint="eastAsia" w:ascii="仿宋_GB2312" w:hAnsi="宋体" w:eastAsia="仿宋_GB2312" w:cs="黑体"/>
          <w:sz w:val="32"/>
          <w:szCs w:val="32"/>
        </w:rPr>
        <w:t>其领导班子主要负责人是本单位网络安全工作的第一责任人。</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跨部门</w:t>
      </w:r>
      <w:r>
        <w:rPr>
          <w:rFonts w:ascii="仿宋_GB2312" w:hAnsi="宋体" w:eastAsia="仿宋_GB2312" w:cs="黑体"/>
          <w:color w:val="000000"/>
          <w:sz w:val="32"/>
          <w:szCs w:val="32"/>
        </w:rPr>
        <w:t>、跨层级的</w:t>
      </w:r>
      <w:r>
        <w:rPr>
          <w:rFonts w:hint="eastAsia" w:ascii="仿宋_GB2312" w:hAnsi="宋体" w:eastAsia="仿宋_GB2312" w:cs="黑体"/>
          <w:color w:val="000000"/>
          <w:sz w:val="32"/>
          <w:szCs w:val="32"/>
        </w:rPr>
        <w:t>联网</w:t>
      </w:r>
      <w:r>
        <w:rPr>
          <w:rFonts w:ascii="仿宋_GB2312" w:hAnsi="宋体" w:eastAsia="仿宋_GB2312" w:cs="黑体"/>
          <w:color w:val="000000"/>
          <w:sz w:val="32"/>
          <w:szCs w:val="32"/>
        </w:rPr>
        <w:t>信息系统</w:t>
      </w:r>
      <w:r>
        <w:rPr>
          <w:rFonts w:hint="eastAsia" w:ascii="仿宋_GB2312" w:hAnsi="宋体" w:eastAsia="仿宋_GB2312" w:cs="黑体"/>
          <w:color w:val="000000"/>
          <w:sz w:val="32"/>
          <w:szCs w:val="32"/>
        </w:rPr>
        <w:t>，应当划分网络安全管理</w:t>
      </w:r>
      <w:r>
        <w:rPr>
          <w:rFonts w:ascii="仿宋_GB2312" w:hAnsi="宋体" w:eastAsia="仿宋_GB2312" w:cs="黑体"/>
          <w:color w:val="000000"/>
          <w:sz w:val="32"/>
          <w:szCs w:val="32"/>
        </w:rPr>
        <w:t>边界，</w:t>
      </w:r>
      <w:r>
        <w:rPr>
          <w:rFonts w:hint="eastAsia" w:ascii="仿宋_GB2312" w:hAnsi="宋体" w:eastAsia="仿宋_GB2312" w:cs="黑体"/>
          <w:color w:val="000000"/>
          <w:sz w:val="32"/>
          <w:szCs w:val="32"/>
        </w:rPr>
        <w:t>明确主管部门</w:t>
      </w:r>
      <w:r>
        <w:rPr>
          <w:rFonts w:ascii="仿宋_GB2312" w:hAnsi="宋体" w:eastAsia="仿宋_GB2312" w:cs="黑体"/>
          <w:color w:val="000000"/>
          <w:sz w:val="32"/>
          <w:szCs w:val="32"/>
        </w:rPr>
        <w:t>和相关</w:t>
      </w:r>
      <w:r>
        <w:rPr>
          <w:rFonts w:hint="eastAsia" w:ascii="仿宋_GB2312" w:hAnsi="宋体" w:eastAsia="仿宋_GB2312" w:cs="黑体"/>
          <w:color w:val="000000"/>
          <w:sz w:val="32"/>
          <w:szCs w:val="32"/>
        </w:rPr>
        <w:t>运行</w:t>
      </w:r>
      <w:r>
        <w:rPr>
          <w:rFonts w:ascii="仿宋_GB2312" w:hAnsi="宋体" w:eastAsia="仿宋_GB2312" w:cs="黑体"/>
          <w:color w:val="000000"/>
          <w:sz w:val="32"/>
          <w:szCs w:val="32"/>
        </w:rPr>
        <w:t>单位安全</w:t>
      </w:r>
      <w:r>
        <w:rPr>
          <w:rFonts w:hint="eastAsia" w:ascii="仿宋_GB2312" w:hAnsi="宋体" w:eastAsia="仿宋_GB2312" w:cs="黑体"/>
          <w:color w:val="000000"/>
          <w:sz w:val="32"/>
          <w:szCs w:val="32"/>
        </w:rPr>
        <w:t>管理责任，统一</w:t>
      </w:r>
      <w:r>
        <w:rPr>
          <w:rFonts w:ascii="仿宋_GB2312" w:hAnsi="宋体" w:eastAsia="仿宋_GB2312" w:cs="黑体"/>
          <w:color w:val="000000"/>
          <w:sz w:val="32"/>
          <w:szCs w:val="32"/>
        </w:rPr>
        <w:t>规划、统一建设、</w:t>
      </w:r>
      <w:r>
        <w:rPr>
          <w:rFonts w:hint="eastAsia" w:ascii="仿宋_GB2312" w:hAnsi="宋体" w:eastAsia="仿宋_GB2312" w:cs="黑体"/>
          <w:color w:val="000000"/>
          <w:sz w:val="32"/>
          <w:szCs w:val="32"/>
        </w:rPr>
        <w:t>统一</w:t>
      </w:r>
      <w:r>
        <w:rPr>
          <w:rFonts w:ascii="仿宋_GB2312" w:hAnsi="宋体" w:eastAsia="仿宋_GB2312" w:cs="黑体"/>
          <w:color w:val="000000"/>
          <w:sz w:val="32"/>
          <w:szCs w:val="32"/>
        </w:rPr>
        <w:t>安全</w:t>
      </w:r>
      <w:r>
        <w:rPr>
          <w:rFonts w:hint="eastAsia" w:ascii="仿宋_GB2312" w:hAnsi="宋体" w:eastAsia="仿宋_GB2312" w:cs="黑体"/>
          <w:color w:val="000000"/>
          <w:sz w:val="32"/>
          <w:szCs w:val="32"/>
        </w:rPr>
        <w:t>保护策略和</w:t>
      </w:r>
      <w:r>
        <w:rPr>
          <w:rFonts w:ascii="仿宋_GB2312" w:hAnsi="宋体" w:eastAsia="仿宋_GB2312" w:cs="黑体"/>
          <w:color w:val="000000"/>
          <w:sz w:val="32"/>
          <w:szCs w:val="32"/>
        </w:rPr>
        <w:t>统一监测管理</w:t>
      </w:r>
      <w:r>
        <w:rPr>
          <w:rFonts w:hint="eastAsia" w:ascii="仿宋_GB2312" w:hAnsi="宋体" w:eastAsia="仿宋_GB2312" w:cs="黑体"/>
          <w:color w:val="000000"/>
          <w:sz w:val="32"/>
          <w:szCs w:val="32"/>
        </w:rPr>
        <w:t>，</w:t>
      </w:r>
      <w:r>
        <w:rPr>
          <w:rFonts w:ascii="仿宋_GB2312" w:hAnsi="宋体" w:eastAsia="仿宋_GB2312" w:cs="黑体"/>
          <w:color w:val="000000"/>
          <w:sz w:val="32"/>
          <w:szCs w:val="32"/>
        </w:rPr>
        <w:t>各</w:t>
      </w:r>
      <w:r>
        <w:rPr>
          <w:rFonts w:hint="eastAsia" w:ascii="仿宋_GB2312" w:hAnsi="宋体" w:eastAsia="仿宋_GB2312" w:cs="黑体"/>
          <w:color w:val="000000"/>
          <w:sz w:val="32"/>
          <w:szCs w:val="32"/>
        </w:rPr>
        <w:t>自</w:t>
      </w:r>
      <w:r>
        <w:rPr>
          <w:rFonts w:ascii="仿宋_GB2312" w:hAnsi="宋体" w:eastAsia="仿宋_GB2312" w:cs="黑体"/>
          <w:color w:val="000000"/>
          <w:sz w:val="32"/>
          <w:szCs w:val="32"/>
        </w:rPr>
        <w:t>负责</w:t>
      </w:r>
      <w:r>
        <w:rPr>
          <w:rFonts w:hint="eastAsia" w:ascii="仿宋_GB2312" w:hAnsi="宋体" w:eastAsia="仿宋_GB2312" w:cs="黑体"/>
          <w:color w:val="000000"/>
          <w:sz w:val="32"/>
          <w:szCs w:val="32"/>
        </w:rPr>
        <w:t>网络安全</w:t>
      </w:r>
      <w:r>
        <w:rPr>
          <w:rFonts w:ascii="仿宋_GB2312" w:hAnsi="宋体" w:eastAsia="仿宋_GB2312" w:cs="黑体"/>
          <w:color w:val="000000"/>
          <w:sz w:val="32"/>
          <w:szCs w:val="32"/>
        </w:rPr>
        <w:t>运行。</w:t>
      </w:r>
    </w:p>
    <w:p>
      <w:pPr>
        <w:pStyle w:val="2"/>
        <w:spacing w:before="260" w:beforeLines="0" w:after="260" w:afterLines="0"/>
        <w:jc w:val="center"/>
        <w:rPr>
          <w:rFonts w:ascii="黑体" w:hAnsi="黑体"/>
          <w:b/>
        </w:rPr>
      </w:pPr>
      <w:r>
        <w:rPr>
          <w:rFonts w:hint="eastAsia" w:ascii="黑体" w:hAnsi="黑体"/>
          <w:b/>
        </w:rPr>
        <w:t>第三章 建设阶段安全</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厅直各单位应当按照网络安全等级保护制度和规范要求，做好系统规划设计、建设开发、部署上线等环节的网络安全工作，建立覆盖系统建设各方、各环节的网络安全责任制。</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在信息系统可行性研究报告报审</w:t>
      </w:r>
      <w:r>
        <w:rPr>
          <w:rFonts w:ascii="仿宋_GB2312" w:hAnsi="宋体" w:eastAsia="仿宋_GB2312" w:cs="黑体"/>
          <w:color w:val="000000"/>
          <w:sz w:val="32"/>
          <w:szCs w:val="32"/>
        </w:rPr>
        <w:t>前</w:t>
      </w:r>
      <w:r>
        <w:rPr>
          <w:rFonts w:hint="eastAsia" w:ascii="仿宋_GB2312" w:hAnsi="宋体" w:eastAsia="仿宋_GB2312" w:cs="黑体"/>
          <w:color w:val="000000"/>
          <w:sz w:val="32"/>
          <w:szCs w:val="32"/>
        </w:rPr>
        <w:t>，应当采取专家评审的方式确定安全保护等级，并严格按照所定级别设计安全建设方案。安全保护等级为第</w:t>
      </w:r>
      <w:r>
        <w:rPr>
          <w:rFonts w:ascii="仿宋_GB2312" w:hAnsi="宋体" w:eastAsia="仿宋_GB2312" w:cs="黑体"/>
          <w:color w:val="000000"/>
          <w:sz w:val="32"/>
          <w:szCs w:val="32"/>
        </w:rPr>
        <w:t>三级及以上的，安全设计方案</w:t>
      </w:r>
      <w:r>
        <w:rPr>
          <w:rFonts w:hint="eastAsia" w:ascii="仿宋_GB2312" w:hAnsi="宋体" w:eastAsia="仿宋_GB2312" w:cs="黑体"/>
          <w:color w:val="000000"/>
          <w:sz w:val="32"/>
          <w:szCs w:val="32"/>
        </w:rPr>
        <w:t>应当通过专项</w:t>
      </w:r>
      <w:r>
        <w:rPr>
          <w:rFonts w:ascii="仿宋_GB2312" w:hAnsi="宋体" w:eastAsia="仿宋_GB2312" w:cs="黑体"/>
          <w:color w:val="000000"/>
          <w:sz w:val="32"/>
          <w:szCs w:val="32"/>
        </w:rPr>
        <w:t>评审</w:t>
      </w:r>
      <w:r>
        <w:rPr>
          <w:rFonts w:hint="eastAsia" w:ascii="仿宋_GB2312" w:hAnsi="宋体" w:eastAsia="仿宋_GB2312" w:cs="黑体"/>
          <w:color w:val="000000"/>
          <w:sz w:val="32"/>
          <w:szCs w:val="32"/>
        </w:rPr>
        <w:t>。</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信息系统在建设、运行、使用及监管过程中，厅直各单位应当明确各参与方网络安全工作责任，签署相应的安全责任承诺书，报本单位网络安全管理部门备案。</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厅直各单位应当指定或授权专人负责产品采购，制定相应的管理制度对采购进行全程监督。安全产品和密码产品的选购，要选择符合国家及相关部门规定的产品。</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系统建设应当采取数据分类、数据备份和加密等措施，制定有效的数据备份和恢复策略，对重要网络设备和通信线路进行冗余备份，最大限度保障信息系统运行的连续性。</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对涉及行政许可、资金管理等业务的重要信息系统，应当采用陕西省交通运输密钥管理与安全认证中心密钥身份认证系统，实现双因子认证。</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厅直各单位应当与软件开发方签订相关安全和保密协议，按照安全需求及软件工程规范进行设计开发。对安全保护等级</w:t>
      </w:r>
      <w:r>
        <w:rPr>
          <w:rFonts w:ascii="仿宋_GB2312" w:hAnsi="宋体" w:eastAsia="仿宋_GB2312" w:cs="黑体"/>
          <w:color w:val="000000"/>
          <w:sz w:val="32"/>
          <w:szCs w:val="32"/>
        </w:rPr>
        <w:t>为</w:t>
      </w:r>
      <w:r>
        <w:rPr>
          <w:rFonts w:hint="eastAsia" w:ascii="仿宋_GB2312" w:hAnsi="宋体" w:eastAsia="仿宋_GB2312" w:cs="黑体"/>
          <w:color w:val="000000"/>
          <w:sz w:val="32"/>
          <w:szCs w:val="32"/>
        </w:rPr>
        <w:t>第二级及以上系统，应当组织第三方专业机构开展软件测试、代码安全审计。未通过软件测试、代码安全审计的，应当在整改通过后方可投入试运行。试运行应当在测试环境中进行。</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安全保护等级为第二级及以上的新建系统投入试运行后30日内，向公安机关备案，并在备案完成后10日内将备案证明报备厅网信办。</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试运行期，</w:t>
      </w:r>
      <w:r>
        <w:rPr>
          <w:rFonts w:ascii="仿宋_GB2312" w:hAnsi="宋体" w:eastAsia="仿宋_GB2312" w:cs="黑体"/>
          <w:color w:val="000000"/>
          <w:sz w:val="32"/>
          <w:szCs w:val="32"/>
        </w:rPr>
        <w:t>对安全保护等级为第二级及以上系统，</w:t>
      </w:r>
      <w:r>
        <w:rPr>
          <w:rFonts w:hint="eastAsia" w:ascii="仿宋_GB2312" w:hAnsi="宋体" w:eastAsia="仿宋_GB2312" w:cs="黑体"/>
          <w:color w:val="000000"/>
          <w:sz w:val="32"/>
          <w:szCs w:val="32"/>
        </w:rPr>
        <w:t>应当</w:t>
      </w:r>
      <w:r>
        <w:rPr>
          <w:rFonts w:ascii="仿宋_GB2312" w:hAnsi="宋体" w:eastAsia="仿宋_GB2312" w:cs="黑体"/>
          <w:color w:val="000000"/>
          <w:sz w:val="32"/>
          <w:szCs w:val="32"/>
        </w:rPr>
        <w:t>组织具备资质的第三方机构</w:t>
      </w:r>
      <w:r>
        <w:rPr>
          <w:rFonts w:hint="eastAsia" w:ascii="仿宋_GB2312" w:hAnsi="宋体" w:eastAsia="仿宋_GB2312" w:cs="黑体"/>
          <w:color w:val="000000"/>
          <w:sz w:val="32"/>
          <w:szCs w:val="32"/>
        </w:rPr>
        <w:t>进行</w:t>
      </w:r>
      <w:r>
        <w:rPr>
          <w:rFonts w:ascii="仿宋_GB2312" w:hAnsi="宋体" w:eastAsia="仿宋_GB2312" w:cs="黑体"/>
          <w:color w:val="000000"/>
          <w:sz w:val="32"/>
          <w:szCs w:val="32"/>
        </w:rPr>
        <w:t>等级保护测评</w:t>
      </w:r>
      <w:r>
        <w:rPr>
          <w:rFonts w:hint="eastAsia" w:ascii="仿宋_GB2312" w:hAnsi="宋体" w:eastAsia="仿宋_GB2312" w:cs="黑体"/>
          <w:color w:val="000000"/>
          <w:sz w:val="32"/>
          <w:szCs w:val="32"/>
        </w:rPr>
        <w:t>，对第三级及以上的系统，还应当组织开展风险评估。未通过等级保护测评及备案的，风险评估不合格的，应当在</w:t>
      </w:r>
      <w:r>
        <w:rPr>
          <w:rFonts w:ascii="仿宋_GB2312" w:hAnsi="宋体" w:eastAsia="仿宋_GB2312" w:cs="黑体"/>
          <w:color w:val="000000"/>
          <w:sz w:val="32"/>
          <w:szCs w:val="32"/>
        </w:rPr>
        <w:t>整改后</w:t>
      </w:r>
      <w:r>
        <w:rPr>
          <w:rFonts w:hint="eastAsia" w:ascii="仿宋_GB2312" w:hAnsi="宋体" w:eastAsia="仿宋_GB2312" w:cs="黑体"/>
          <w:color w:val="000000"/>
          <w:sz w:val="32"/>
          <w:szCs w:val="32"/>
        </w:rPr>
        <w:t>开展竣工验收。</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建设</w:t>
      </w:r>
      <w:r>
        <w:rPr>
          <w:rFonts w:ascii="仿宋_GB2312" w:hAnsi="宋体" w:eastAsia="仿宋_GB2312" w:cs="黑体"/>
          <w:color w:val="000000"/>
          <w:sz w:val="32"/>
          <w:szCs w:val="32"/>
        </w:rPr>
        <w:t>单位</w:t>
      </w:r>
      <w:r>
        <w:rPr>
          <w:rFonts w:hint="eastAsia" w:ascii="仿宋_GB2312" w:hAnsi="宋体" w:eastAsia="仿宋_GB2312" w:cs="黑体"/>
          <w:color w:val="000000"/>
          <w:sz w:val="32"/>
          <w:szCs w:val="32"/>
        </w:rPr>
        <w:t>与运行单位不是同一单位的，</w:t>
      </w:r>
      <w:r>
        <w:rPr>
          <w:rFonts w:ascii="仿宋_GB2312" w:hAnsi="宋体" w:eastAsia="仿宋_GB2312" w:cs="黑体"/>
          <w:color w:val="000000"/>
          <w:sz w:val="32"/>
          <w:szCs w:val="32"/>
        </w:rPr>
        <w:t>建设单位应</w:t>
      </w:r>
      <w:r>
        <w:rPr>
          <w:rFonts w:hint="eastAsia" w:ascii="仿宋_GB2312" w:hAnsi="宋体" w:eastAsia="仿宋_GB2312" w:cs="黑体"/>
          <w:color w:val="000000"/>
          <w:sz w:val="32"/>
          <w:szCs w:val="32"/>
        </w:rPr>
        <w:t>当</w:t>
      </w:r>
      <w:r>
        <w:rPr>
          <w:rFonts w:ascii="仿宋_GB2312" w:hAnsi="宋体" w:eastAsia="仿宋_GB2312" w:cs="黑体"/>
          <w:color w:val="000000"/>
          <w:sz w:val="32"/>
          <w:szCs w:val="32"/>
        </w:rPr>
        <w:t>组织运行单位参与竣工验收，</w:t>
      </w:r>
      <w:r>
        <w:rPr>
          <w:rFonts w:hint="eastAsia" w:ascii="仿宋_GB2312" w:hAnsi="宋体" w:eastAsia="仿宋_GB2312" w:cs="黑体"/>
          <w:color w:val="000000"/>
          <w:sz w:val="32"/>
          <w:szCs w:val="32"/>
        </w:rPr>
        <w:t>未通过等级保护测评及备案的，风险评估不合格的，未</w:t>
      </w:r>
      <w:r>
        <w:rPr>
          <w:rFonts w:ascii="仿宋_GB2312" w:hAnsi="宋体" w:eastAsia="仿宋_GB2312" w:cs="黑体"/>
          <w:color w:val="000000"/>
          <w:sz w:val="32"/>
          <w:szCs w:val="32"/>
        </w:rPr>
        <w:t>完成运行责任移交的，</w:t>
      </w:r>
      <w:r>
        <w:rPr>
          <w:rFonts w:hint="eastAsia" w:ascii="仿宋_GB2312" w:hAnsi="宋体" w:eastAsia="仿宋_GB2312" w:cs="黑体"/>
          <w:color w:val="000000"/>
          <w:sz w:val="32"/>
          <w:szCs w:val="32"/>
        </w:rPr>
        <w:t>未完成设计、实施和开发技术文档及源代码等移交的，应当在</w:t>
      </w:r>
      <w:r>
        <w:rPr>
          <w:rFonts w:ascii="仿宋_GB2312" w:hAnsi="宋体" w:eastAsia="仿宋_GB2312" w:cs="黑体"/>
          <w:color w:val="000000"/>
          <w:sz w:val="32"/>
          <w:szCs w:val="32"/>
        </w:rPr>
        <w:t>整改后</w:t>
      </w:r>
      <w:r>
        <w:rPr>
          <w:rFonts w:hint="eastAsia" w:ascii="仿宋_GB2312" w:hAnsi="宋体" w:eastAsia="仿宋_GB2312" w:cs="黑体"/>
          <w:color w:val="000000"/>
          <w:sz w:val="32"/>
          <w:szCs w:val="32"/>
        </w:rPr>
        <w:t>开展竣工验收。竣工验收完成后，由运行单位联系公安部门进行备案主体变更。</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系统功能发生重大变更时，厅直各单位应当组织重新定级，并根据定级结果重新组织评估系统安全防护能力，开展安全整改建设。</w:t>
      </w:r>
    </w:p>
    <w:p>
      <w:pPr>
        <w:pStyle w:val="2"/>
        <w:spacing w:before="260" w:beforeLines="0" w:after="260" w:afterLines="0"/>
        <w:jc w:val="center"/>
        <w:rPr>
          <w:rFonts w:ascii="黑体" w:hAnsi="黑体"/>
          <w:b/>
        </w:rPr>
      </w:pPr>
      <w:r>
        <w:rPr>
          <w:rFonts w:hint="eastAsia" w:ascii="黑体" w:hAnsi="黑体"/>
          <w:b/>
        </w:rPr>
        <w:t>第四章 运行阶段安全</w:t>
      </w:r>
    </w:p>
    <w:p>
      <w:pPr>
        <w:pStyle w:val="3"/>
        <w:jc w:val="center"/>
        <w:rPr>
          <w:b w:val="0"/>
        </w:rPr>
      </w:pPr>
      <w:r>
        <w:rPr>
          <w:rFonts w:hint="eastAsia"/>
        </w:rPr>
        <w:t>第一</w:t>
      </w:r>
      <w:r>
        <w:t>节</w:t>
      </w:r>
      <w:r>
        <w:rPr>
          <w:rFonts w:hint="eastAsia"/>
        </w:rPr>
        <w:t xml:space="preserve"> 一般</w:t>
      </w:r>
      <w:r>
        <w:t>规定</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运行单位应当建立健全覆盖运行各环节的安全管理制度体系和操作规程，确定运行安全责任人，落实网络安全保护责任。</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运行单位应当建立人员录用、转岗和离岗以及外包服务人员等方面的安全管理制度，定期进行培训和考核，并签订安全保密协议。</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运行单位应当配备机房安全管理人员，严格机房出入安全管理，定期对机房开展检查，确保机房条件符合等级保护管理要求。</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运行单位应当对资产进行分类、标识，明确使用和处理措施，明确资产责任人，建立资产</w:t>
      </w:r>
      <w:r>
        <w:rPr>
          <w:rFonts w:ascii="仿宋_GB2312" w:hAnsi="宋体" w:eastAsia="仿宋_GB2312" w:cs="黑体"/>
          <w:color w:val="000000"/>
          <w:sz w:val="32"/>
          <w:szCs w:val="32"/>
        </w:rPr>
        <w:t>清单</w:t>
      </w:r>
      <w:r>
        <w:rPr>
          <w:rFonts w:hint="eastAsia" w:ascii="仿宋_GB2312" w:hAnsi="宋体" w:eastAsia="仿宋_GB2312" w:cs="黑体"/>
          <w:color w:val="000000"/>
          <w:sz w:val="32"/>
          <w:szCs w:val="32"/>
        </w:rPr>
        <w:t>，并对存储介质和软硬件设备的采购、使用、存储、维护、报废等方面提出要求。对不满足安全管理规定的设备，按有关规定及时更新、报废。</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运行单位应当根据需求在不同网络间实行物理隔离或逻辑隔离，并按照最小权限原则对网络进行分区分域管理，在不同安全域间实施访问控制，严格控制非授权网络访问。加强对接入运行环境的行为严格管理，接入方案、安全测评报告等审核和评估后，确认达到安全要求方可授权接入，不得随意变更接入要求。</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运行单位应当对日常维护工作建立操作规程和巡检流程，指定专人对网络和系统的安全配置、日志审计等方面进行管理，划分系统管理员角色，明确各角色的权限及责任，定期开展漏洞扫描、恶意代码检测等工作，并及时整改，有效处置安全风险隐患。</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对</w:t>
      </w:r>
      <w:r>
        <w:rPr>
          <w:rFonts w:ascii="仿宋_GB2312" w:hAnsi="宋体" w:eastAsia="仿宋_GB2312" w:cs="黑体"/>
          <w:color w:val="000000"/>
          <w:sz w:val="32"/>
          <w:szCs w:val="32"/>
        </w:rPr>
        <w:t>安全保护等级</w:t>
      </w:r>
      <w:r>
        <w:rPr>
          <w:rFonts w:hint="eastAsia" w:ascii="仿宋_GB2312" w:hAnsi="宋体" w:eastAsia="仿宋_GB2312" w:cs="黑体"/>
          <w:color w:val="000000"/>
          <w:sz w:val="32"/>
          <w:szCs w:val="32"/>
        </w:rPr>
        <w:t>为第三级及以上的系统，运行单位应当严格按照等级保护要求，每年至少开展一次等级符合性测评，并将测评报告报厅网信办备案。对未达到安全保护等级要求的及时开展安全整改。</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运行单位应当加强网站等互联网系统的安全防护，部署安全防护设备，严格设置访问控制策略，建立安全访问路径，严格控制后台维护终端的管理。</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运行单位应当加强互联网电子邮件系统安全管理。严禁将办公邮件自动转发至非相关人员或境外邮箱，确保用户密码具有一定强度并定期更换。加强人员安全意识教育，防止钓鱼邮件等网络攻击。</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运行单位应当采取技术措施监测、记录网络运行状态和网络安全事件，日志留存时间不少于六个月。</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运行单位应当建立变更管理制度，网络和系统发生重大变更时，应制定变更方案，并经过上级单位审批后，应按照既定的变更方案进行变更。</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运行单位应当建立备份与恢复安全管理制度，制订详细的备份与恢复策略和操作规程，对备份过程进行记录，定期执行恢复测试。</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国家重要活动、会议期间实行网络安全重点保障。厅直各单位应当按照“减风险，保关键”原则，做好事前检查和风险漏洞检测整改，加强重点防护并签署网络安全责任承诺书。实行专项信息通报，严格执行“零事件”报告制度。</w:t>
      </w:r>
    </w:p>
    <w:bookmarkEnd w:id="8"/>
    <w:p>
      <w:pPr>
        <w:pStyle w:val="3"/>
        <w:jc w:val="center"/>
      </w:pPr>
      <w:r>
        <w:rPr>
          <w:rFonts w:hint="eastAsia"/>
        </w:rPr>
        <w:t>第二</w:t>
      </w:r>
      <w:r>
        <w:t>节</w:t>
      </w:r>
      <w:r>
        <w:rPr>
          <w:rFonts w:hint="eastAsia"/>
        </w:rPr>
        <w:t xml:space="preserve"> 关键</w:t>
      </w:r>
      <w:r>
        <w:t>信息基础设施安全</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厅直各单位应当按照交通运输部关键信息基础设施相关认定规范进行系统梳理、初步认定，报厅网信办审核。</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关键信息基础设施采购可能影响国家安全的网络产品和服务，应当通过网络安全审查，并与供货方签订安全保密协议。</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关键信息基础设施运行单位应当设置专门安全管理机构，明确安全管理负责人，并对该负责人和关键岗位人员进行安全背景审查，定期开展技术培训和技能考核。</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关键信息基础设施主管单位应当组织对关键信息基础设施实行7×24小时监测，每年至少组织开展一次风险评估。涉及密码应用的，每年至少组织开展一次密码应用安全性评估。</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关键信息基础设施收集和产生的个人信息和重要数据应当在境内存储，并对重要信息系统和数据进行容灾备份；因业务需要，确需向境外提供的，主管单位应当按照国家有关规定履行安全评估程序。严禁非法获取、出售或未经授权向他人提供关键信息基础设施技术资料。</w:t>
      </w:r>
    </w:p>
    <w:p>
      <w:pPr>
        <w:pStyle w:val="2"/>
        <w:spacing w:before="260" w:beforeLines="0" w:after="260" w:afterLines="0"/>
        <w:jc w:val="center"/>
        <w:rPr>
          <w:rFonts w:ascii="黑体" w:hAnsi="黑体"/>
          <w:b/>
        </w:rPr>
      </w:pPr>
      <w:r>
        <w:rPr>
          <w:rFonts w:hint="eastAsia" w:ascii="黑体" w:hAnsi="黑体"/>
          <w:b/>
        </w:rPr>
        <w:t>第五章 信息数据安全</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厅直各单位应当严格落实国家和行业对个人信息、重要数据保护的相关要求，遵循“谁收集信息、谁负责保护”的原则，组织建立健全用户信息保护制度，指导运行单位加强用户信息安全保障。</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收集、使用个人信息，应当遵循合法、正当、必要的原则，建立收集明示机制。明确数据公开收集和使用要求，规范采集、存储、使用、销毁等行为，严格限制对公民、法人和其他组织信息收集规模，不得收集与其提供的服务无关的个人信息；不得违反法律、行政法规规定和双方约定收集、使用、处理其存储的个人信息。</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厅直各单位应当采取必要措施，确保采集信息的安全，防止信息泄露、毁损、丢失。当发生或者可能发生信息泄露、毁损、丢失的情况时，应当立即采取补救措施，按照规定及时告知用户并向有关主管部门报告。</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跨部门、跨区域开展数据资源共享的系统，依据厅政务信息资源共享管理相关规定，加强数据安全管理。</w:t>
      </w:r>
    </w:p>
    <w:p>
      <w:pPr>
        <w:pStyle w:val="2"/>
        <w:spacing w:before="260" w:beforeLines="0" w:after="260" w:afterLines="0"/>
        <w:jc w:val="center"/>
        <w:rPr>
          <w:rFonts w:ascii="黑体" w:hAnsi="黑体"/>
          <w:b/>
        </w:rPr>
      </w:pPr>
      <w:r>
        <w:rPr>
          <w:rFonts w:hint="eastAsia" w:ascii="黑体" w:hAnsi="黑体"/>
          <w:b/>
        </w:rPr>
        <w:t>第六章 信息</w:t>
      </w:r>
      <w:r>
        <w:rPr>
          <w:rFonts w:ascii="黑体" w:hAnsi="黑体"/>
          <w:b/>
        </w:rPr>
        <w:t>通报</w:t>
      </w:r>
      <w:r>
        <w:rPr>
          <w:rFonts w:hint="eastAsia" w:ascii="黑体" w:hAnsi="黑体"/>
          <w:b/>
        </w:rPr>
        <w:t>与处置</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厅直各单位</w:t>
      </w:r>
      <w:r>
        <w:rPr>
          <w:rFonts w:ascii="仿宋_GB2312" w:hAnsi="宋体" w:eastAsia="仿宋_GB2312" w:cs="黑体"/>
          <w:color w:val="000000"/>
          <w:sz w:val="32"/>
          <w:szCs w:val="32"/>
        </w:rPr>
        <w:t>应</w:t>
      </w:r>
      <w:r>
        <w:rPr>
          <w:rFonts w:hint="eastAsia" w:ascii="仿宋_GB2312" w:hAnsi="宋体" w:eastAsia="仿宋_GB2312" w:cs="黑体"/>
          <w:color w:val="000000"/>
          <w:sz w:val="32"/>
          <w:szCs w:val="32"/>
        </w:rPr>
        <w:t>当</w:t>
      </w:r>
      <w:r>
        <w:rPr>
          <w:rFonts w:ascii="仿宋_GB2312" w:hAnsi="宋体" w:eastAsia="仿宋_GB2312" w:cs="黑体"/>
          <w:color w:val="000000"/>
          <w:sz w:val="32"/>
          <w:szCs w:val="32"/>
        </w:rPr>
        <w:t>加强</w:t>
      </w:r>
      <w:r>
        <w:rPr>
          <w:rFonts w:hint="eastAsia" w:ascii="仿宋_GB2312" w:hAnsi="宋体" w:eastAsia="仿宋_GB2312" w:cs="黑体"/>
          <w:color w:val="000000"/>
          <w:sz w:val="32"/>
          <w:szCs w:val="32"/>
        </w:rPr>
        <w:t>网络安全</w:t>
      </w:r>
      <w:r>
        <w:rPr>
          <w:rFonts w:ascii="仿宋_GB2312" w:hAnsi="宋体" w:eastAsia="仿宋_GB2312" w:cs="黑体"/>
          <w:color w:val="000000"/>
          <w:sz w:val="32"/>
          <w:szCs w:val="32"/>
        </w:rPr>
        <w:t>监测预警能力建设</w:t>
      </w:r>
      <w:r>
        <w:rPr>
          <w:rFonts w:hint="eastAsia" w:ascii="仿宋_GB2312" w:hAnsi="宋体" w:eastAsia="仿宋_GB2312" w:cs="黑体"/>
          <w:color w:val="000000"/>
          <w:sz w:val="32"/>
          <w:szCs w:val="32"/>
        </w:rPr>
        <w:t>，实时掌握网络安全态势，</w:t>
      </w:r>
      <w:r>
        <w:rPr>
          <w:rFonts w:ascii="仿宋_GB2312" w:hAnsi="宋体" w:eastAsia="仿宋_GB2312" w:cs="黑体"/>
          <w:color w:val="000000"/>
          <w:sz w:val="32"/>
          <w:szCs w:val="32"/>
        </w:rPr>
        <w:t>完善网络安全</w:t>
      </w:r>
      <w:r>
        <w:rPr>
          <w:rFonts w:hint="eastAsia" w:ascii="仿宋_GB2312" w:hAnsi="宋体" w:eastAsia="仿宋_GB2312" w:cs="黑体"/>
          <w:color w:val="000000"/>
          <w:sz w:val="32"/>
          <w:szCs w:val="32"/>
        </w:rPr>
        <w:t>信息</w:t>
      </w:r>
      <w:r>
        <w:rPr>
          <w:rFonts w:ascii="仿宋_GB2312" w:hAnsi="宋体" w:eastAsia="仿宋_GB2312" w:cs="黑体"/>
          <w:color w:val="000000"/>
          <w:sz w:val="32"/>
          <w:szCs w:val="32"/>
        </w:rPr>
        <w:t>通报机制，</w:t>
      </w:r>
      <w:r>
        <w:rPr>
          <w:rFonts w:hint="eastAsia" w:ascii="仿宋_GB2312" w:hAnsi="宋体" w:eastAsia="仿宋_GB2312" w:cs="黑体"/>
          <w:color w:val="000000"/>
          <w:sz w:val="32"/>
          <w:szCs w:val="32"/>
        </w:rPr>
        <w:t>加强网络安全信息收集、分析和共享，确保</w:t>
      </w:r>
      <w:r>
        <w:rPr>
          <w:rFonts w:ascii="仿宋_GB2312" w:hAnsi="宋体" w:eastAsia="仿宋_GB2312" w:cs="黑体"/>
          <w:color w:val="000000"/>
          <w:sz w:val="32"/>
          <w:szCs w:val="32"/>
        </w:rPr>
        <w:t>通报信息传达</w:t>
      </w:r>
      <w:r>
        <w:rPr>
          <w:rFonts w:hint="eastAsia" w:ascii="仿宋_GB2312" w:hAnsi="宋体" w:eastAsia="仿宋_GB2312" w:cs="黑体"/>
          <w:color w:val="000000"/>
          <w:sz w:val="32"/>
          <w:szCs w:val="32"/>
        </w:rPr>
        <w:t>到位</w:t>
      </w:r>
      <w:r>
        <w:rPr>
          <w:rFonts w:ascii="仿宋_GB2312" w:hAnsi="宋体" w:eastAsia="仿宋_GB2312" w:cs="黑体"/>
          <w:color w:val="000000"/>
          <w:sz w:val="32"/>
          <w:szCs w:val="32"/>
        </w:rPr>
        <w:t>，</w:t>
      </w:r>
      <w:r>
        <w:rPr>
          <w:rFonts w:hint="eastAsia" w:ascii="仿宋_GB2312" w:hAnsi="宋体" w:eastAsia="仿宋_GB2312" w:cs="黑体"/>
          <w:color w:val="000000"/>
          <w:sz w:val="32"/>
          <w:szCs w:val="32"/>
        </w:rPr>
        <w:t>及时开展通报预警风险核查处置，并</w:t>
      </w:r>
      <w:r>
        <w:rPr>
          <w:rFonts w:ascii="仿宋_GB2312" w:hAnsi="宋体" w:eastAsia="仿宋_GB2312" w:cs="黑体"/>
          <w:color w:val="000000"/>
          <w:sz w:val="32"/>
          <w:szCs w:val="32"/>
        </w:rPr>
        <w:t>按要求</w:t>
      </w:r>
      <w:r>
        <w:rPr>
          <w:rFonts w:hint="eastAsia" w:ascii="仿宋_GB2312" w:hAnsi="宋体" w:eastAsia="仿宋_GB2312" w:cs="黑体"/>
          <w:color w:val="000000"/>
          <w:sz w:val="32"/>
          <w:szCs w:val="32"/>
        </w:rPr>
        <w:t>逐级</w:t>
      </w:r>
      <w:r>
        <w:rPr>
          <w:rFonts w:ascii="仿宋_GB2312" w:hAnsi="宋体" w:eastAsia="仿宋_GB2312" w:cs="黑体"/>
          <w:color w:val="000000"/>
          <w:sz w:val="32"/>
          <w:szCs w:val="32"/>
        </w:rPr>
        <w:t>反馈</w:t>
      </w:r>
      <w:r>
        <w:rPr>
          <w:rFonts w:hint="eastAsia" w:ascii="仿宋_GB2312" w:hAnsi="宋体" w:eastAsia="仿宋_GB2312" w:cs="黑体"/>
          <w:color w:val="000000"/>
          <w:sz w:val="32"/>
          <w:szCs w:val="32"/>
        </w:rPr>
        <w:t>，不得瞒报、缓报、谎报、迟报和推诿责任</w:t>
      </w:r>
      <w:r>
        <w:rPr>
          <w:rFonts w:ascii="仿宋_GB2312" w:hAnsi="宋体" w:eastAsia="仿宋_GB2312" w:cs="黑体"/>
          <w:color w:val="000000"/>
          <w:sz w:val="32"/>
          <w:szCs w:val="32"/>
        </w:rPr>
        <w:t>。</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厅直各单位应当根据系统等级测评</w:t>
      </w:r>
      <w:r>
        <w:rPr>
          <w:rFonts w:ascii="仿宋_GB2312" w:hAnsi="宋体" w:eastAsia="仿宋_GB2312" w:cs="黑体"/>
          <w:color w:val="000000"/>
          <w:sz w:val="32"/>
          <w:szCs w:val="32"/>
        </w:rPr>
        <w:t>和</w:t>
      </w:r>
      <w:r>
        <w:rPr>
          <w:rFonts w:hint="eastAsia" w:ascii="仿宋_GB2312" w:hAnsi="宋体" w:eastAsia="仿宋_GB2312" w:cs="黑体"/>
          <w:color w:val="000000"/>
          <w:sz w:val="32"/>
          <w:szCs w:val="32"/>
        </w:rPr>
        <w:t>风险评估结果，及时采取措施防范处置网络安全风险。</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厅直各单位应当加强风险漏洞管控，主动及时掌握网络产品和服务相关的安全信息，建立风险漏洞台账，履行整改第一责任。因技术条件限制，不能按期整改但需继续运行的，应当采取必要措施，避免发生安全事件，并以书面形式报备厅网信办。</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厅直各单位</w:t>
      </w:r>
      <w:r>
        <w:rPr>
          <w:rFonts w:ascii="仿宋_GB2312" w:hAnsi="宋体" w:eastAsia="仿宋_GB2312" w:cs="黑体"/>
          <w:color w:val="000000"/>
          <w:sz w:val="32"/>
          <w:szCs w:val="32"/>
        </w:rPr>
        <w:t>应</w:t>
      </w:r>
      <w:r>
        <w:rPr>
          <w:rFonts w:hint="eastAsia" w:ascii="仿宋_GB2312" w:hAnsi="宋体" w:eastAsia="仿宋_GB2312" w:cs="黑体"/>
          <w:color w:val="000000"/>
          <w:sz w:val="32"/>
          <w:szCs w:val="32"/>
        </w:rPr>
        <w:t>当加强</w:t>
      </w:r>
      <w:r>
        <w:rPr>
          <w:rFonts w:ascii="仿宋_GB2312" w:hAnsi="宋体" w:eastAsia="仿宋_GB2312" w:cs="黑体"/>
          <w:color w:val="000000"/>
          <w:sz w:val="32"/>
          <w:szCs w:val="32"/>
        </w:rPr>
        <w:t>网络安全</w:t>
      </w:r>
      <w:r>
        <w:rPr>
          <w:rFonts w:hint="eastAsia" w:ascii="仿宋_GB2312" w:hAnsi="宋体" w:eastAsia="仿宋_GB2312" w:cs="黑体"/>
          <w:color w:val="000000"/>
          <w:sz w:val="32"/>
          <w:szCs w:val="32"/>
        </w:rPr>
        <w:t>事件</w:t>
      </w:r>
      <w:r>
        <w:rPr>
          <w:rFonts w:ascii="仿宋_GB2312" w:hAnsi="宋体" w:eastAsia="仿宋_GB2312" w:cs="黑体"/>
          <w:color w:val="000000"/>
          <w:sz w:val="32"/>
          <w:szCs w:val="32"/>
        </w:rPr>
        <w:t>应急处置管理，</w:t>
      </w:r>
      <w:r>
        <w:rPr>
          <w:rFonts w:hint="eastAsia" w:ascii="仿宋_GB2312" w:hAnsi="宋体" w:eastAsia="仿宋_GB2312" w:cs="黑体"/>
          <w:color w:val="000000"/>
          <w:sz w:val="32"/>
          <w:szCs w:val="32"/>
        </w:rPr>
        <w:t>明确</w:t>
      </w:r>
      <w:r>
        <w:rPr>
          <w:rFonts w:ascii="仿宋_GB2312" w:hAnsi="宋体" w:eastAsia="仿宋_GB2312" w:cs="黑体"/>
          <w:color w:val="000000"/>
          <w:sz w:val="32"/>
          <w:szCs w:val="32"/>
        </w:rPr>
        <w:t>应急工作机构</w:t>
      </w:r>
      <w:r>
        <w:rPr>
          <w:rFonts w:hint="eastAsia" w:ascii="仿宋_GB2312" w:hAnsi="宋体" w:eastAsia="仿宋_GB2312" w:cs="黑体"/>
          <w:color w:val="000000"/>
          <w:sz w:val="32"/>
          <w:szCs w:val="32"/>
        </w:rPr>
        <w:t>，按照《陕西省交通</w:t>
      </w:r>
      <w:r>
        <w:rPr>
          <w:rFonts w:ascii="仿宋_GB2312" w:hAnsi="宋体" w:eastAsia="仿宋_GB2312" w:cs="黑体"/>
          <w:color w:val="000000"/>
          <w:sz w:val="32"/>
          <w:szCs w:val="32"/>
        </w:rPr>
        <w:t>运输</w:t>
      </w:r>
      <w:r>
        <w:rPr>
          <w:rFonts w:hint="eastAsia" w:ascii="仿宋_GB2312" w:hAnsi="宋体" w:eastAsia="仿宋_GB2312" w:cs="黑体"/>
          <w:color w:val="000000"/>
          <w:sz w:val="32"/>
          <w:szCs w:val="32"/>
        </w:rPr>
        <w:t>厅</w:t>
      </w:r>
      <w:r>
        <w:rPr>
          <w:rFonts w:ascii="仿宋_GB2312" w:hAnsi="宋体" w:eastAsia="仿宋_GB2312" w:cs="黑体"/>
          <w:color w:val="000000"/>
          <w:sz w:val="32"/>
          <w:szCs w:val="32"/>
        </w:rPr>
        <w:t>网络安全事件应急预案</w:t>
      </w:r>
      <w:r>
        <w:rPr>
          <w:rFonts w:hint="eastAsia" w:ascii="仿宋_GB2312" w:hAnsi="宋体" w:eastAsia="仿宋_GB2312" w:cs="黑体"/>
          <w:color w:val="000000"/>
          <w:sz w:val="32"/>
          <w:szCs w:val="32"/>
        </w:rPr>
        <w:t>（试行）》的要求，制定完善本单位网络安全事件应急预案，每年至少开展一次应急演练，并根据演练结果完善应急预案。</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厅直各单位应当制定安全事件报告和响应处置流程，明确安全事件类型及职责。网络安全事件发生后，应根据事件类型和级别，立即启动应急预案，最大程度减少损失和危害，及时开展信息通报，并向厅网信办上报。对处置过程进行记录，如可能涉及攻击、破坏等违法犯罪的，</w:t>
      </w:r>
      <w:bookmarkStart w:id="9" w:name="_Hlk512356638"/>
      <w:r>
        <w:rPr>
          <w:rFonts w:hint="eastAsia" w:ascii="仿宋_GB2312" w:hAnsi="宋体" w:eastAsia="仿宋_GB2312" w:cs="黑体"/>
          <w:color w:val="000000"/>
          <w:sz w:val="32"/>
          <w:szCs w:val="32"/>
        </w:rPr>
        <w:t>应当保护相关数据、记录、资料和现场</w:t>
      </w:r>
      <w:bookmarkEnd w:id="9"/>
      <w:r>
        <w:rPr>
          <w:rFonts w:hint="eastAsia" w:ascii="仿宋_GB2312" w:hAnsi="宋体" w:eastAsia="仿宋_GB2312" w:cs="黑体"/>
          <w:color w:val="000000"/>
          <w:sz w:val="32"/>
          <w:szCs w:val="32"/>
        </w:rPr>
        <w:t>，在</w:t>
      </w:r>
      <w:r>
        <w:rPr>
          <w:rFonts w:ascii="仿宋_GB2312" w:hAnsi="宋体" w:eastAsia="仿宋_GB2312" w:cs="黑体"/>
          <w:color w:val="000000"/>
          <w:sz w:val="32"/>
          <w:szCs w:val="32"/>
        </w:rPr>
        <w:t>24小时内向公安机关报案，并配合调查取证。</w:t>
      </w:r>
    </w:p>
    <w:p>
      <w:pPr>
        <w:pStyle w:val="15"/>
        <w:numPr>
          <w:ilvl w:val="0"/>
          <w:numId w:val="1"/>
        </w:numPr>
        <w:tabs>
          <w:tab w:val="left" w:pos="0"/>
        </w:tabs>
        <w:spacing w:line="600" w:lineRule="exact"/>
        <w:ind w:left="0" w:firstLine="640"/>
      </w:pPr>
      <w:r>
        <w:rPr>
          <w:rFonts w:hint="eastAsia" w:ascii="仿宋_GB2312" w:hAnsi="宋体" w:eastAsia="仿宋_GB2312" w:cs="黑体"/>
          <w:color w:val="000000"/>
          <w:sz w:val="32"/>
          <w:szCs w:val="32"/>
        </w:rPr>
        <w:t>网络安全事件处置完成后，应当及时完成网络安全事件调查和评估工作，对事件的起因、性质、影响、责任等进行分析评估，提出处理意见和改进措施。</w:t>
      </w:r>
    </w:p>
    <w:p>
      <w:pPr>
        <w:pStyle w:val="2"/>
        <w:spacing w:before="260" w:beforeLines="0" w:after="260" w:afterLines="0"/>
        <w:jc w:val="center"/>
        <w:rPr>
          <w:rFonts w:ascii="黑体" w:hAnsi="黑体"/>
          <w:b/>
        </w:rPr>
      </w:pPr>
      <w:r>
        <w:rPr>
          <w:rFonts w:hint="eastAsia" w:ascii="黑体" w:hAnsi="黑体"/>
          <w:b/>
        </w:rPr>
        <w:t>第七章 监督管理</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厅网信办每年至少</w:t>
      </w:r>
      <w:r>
        <w:rPr>
          <w:rFonts w:ascii="仿宋_GB2312" w:hAnsi="宋体" w:eastAsia="仿宋_GB2312" w:cs="黑体"/>
          <w:color w:val="000000"/>
          <w:sz w:val="32"/>
          <w:szCs w:val="32"/>
        </w:rPr>
        <w:t>组织开展一次网络安全检查工作</w:t>
      </w:r>
      <w:r>
        <w:rPr>
          <w:rFonts w:hint="eastAsia" w:ascii="仿宋_GB2312" w:hAnsi="宋体" w:eastAsia="仿宋_GB2312" w:cs="黑体"/>
          <w:color w:val="000000"/>
          <w:sz w:val="32"/>
          <w:szCs w:val="32"/>
        </w:rPr>
        <w:t>。根据</w:t>
      </w:r>
      <w:r>
        <w:rPr>
          <w:rFonts w:ascii="仿宋_GB2312" w:hAnsi="宋体" w:eastAsia="仿宋_GB2312" w:cs="黑体"/>
          <w:color w:val="000000"/>
          <w:sz w:val="32"/>
          <w:szCs w:val="32"/>
        </w:rPr>
        <w:t>国家有关要求，</w:t>
      </w:r>
      <w:r>
        <w:rPr>
          <w:rFonts w:hint="eastAsia" w:ascii="仿宋_GB2312" w:hAnsi="宋体" w:eastAsia="仿宋_GB2312" w:cs="黑体"/>
          <w:color w:val="000000"/>
          <w:sz w:val="32"/>
          <w:szCs w:val="32"/>
        </w:rPr>
        <w:t>在</w:t>
      </w:r>
      <w:r>
        <w:rPr>
          <w:rFonts w:ascii="仿宋_GB2312" w:hAnsi="宋体" w:eastAsia="仿宋_GB2312" w:cs="黑体"/>
          <w:color w:val="000000"/>
          <w:sz w:val="32"/>
          <w:szCs w:val="32"/>
        </w:rPr>
        <w:t>重点保障时期</w:t>
      </w:r>
      <w:r>
        <w:rPr>
          <w:rFonts w:hint="eastAsia" w:ascii="仿宋_GB2312" w:hAnsi="宋体" w:eastAsia="仿宋_GB2312" w:cs="黑体"/>
          <w:color w:val="000000"/>
          <w:sz w:val="32"/>
          <w:szCs w:val="32"/>
        </w:rPr>
        <w:t>对</w:t>
      </w:r>
      <w:r>
        <w:rPr>
          <w:rFonts w:ascii="仿宋_GB2312" w:hAnsi="宋体" w:eastAsia="仿宋_GB2312" w:cs="黑体"/>
          <w:color w:val="000000"/>
          <w:sz w:val="32"/>
          <w:szCs w:val="32"/>
        </w:rPr>
        <w:t>网络安全重点保</w:t>
      </w:r>
      <w:r>
        <w:rPr>
          <w:rFonts w:hint="eastAsia" w:ascii="仿宋_GB2312" w:hAnsi="宋体" w:eastAsia="仿宋_GB2312" w:cs="黑体"/>
          <w:color w:val="000000"/>
          <w:sz w:val="32"/>
          <w:szCs w:val="32"/>
        </w:rPr>
        <w:t>卫</w:t>
      </w:r>
      <w:r>
        <w:rPr>
          <w:rFonts w:ascii="仿宋_GB2312" w:hAnsi="宋体" w:eastAsia="仿宋_GB2312" w:cs="黑体"/>
          <w:color w:val="000000"/>
          <w:sz w:val="32"/>
          <w:szCs w:val="32"/>
        </w:rPr>
        <w:t>单位开展专项检查</w:t>
      </w:r>
      <w:r>
        <w:rPr>
          <w:rFonts w:hint="eastAsia" w:ascii="仿宋_GB2312" w:hAnsi="宋体" w:eastAsia="仿宋_GB2312" w:cs="黑体"/>
          <w:color w:val="000000"/>
          <w:sz w:val="32"/>
          <w:szCs w:val="32"/>
        </w:rPr>
        <w:t>。厅直各单位应当按要求组织开展自检</w:t>
      </w:r>
      <w:r>
        <w:rPr>
          <w:rFonts w:ascii="仿宋_GB2312" w:hAnsi="宋体" w:eastAsia="仿宋_GB2312" w:cs="黑体"/>
          <w:color w:val="000000"/>
          <w:sz w:val="32"/>
          <w:szCs w:val="32"/>
        </w:rPr>
        <w:t>自查工作，并配合</w:t>
      </w:r>
      <w:r>
        <w:rPr>
          <w:rFonts w:hint="eastAsia" w:ascii="仿宋_GB2312" w:hAnsi="宋体" w:eastAsia="仿宋_GB2312" w:cs="黑体"/>
          <w:color w:val="000000"/>
          <w:sz w:val="32"/>
          <w:szCs w:val="32"/>
        </w:rPr>
        <w:t>上级网络安全管理部门</w:t>
      </w:r>
      <w:r>
        <w:rPr>
          <w:rFonts w:ascii="仿宋_GB2312" w:hAnsi="宋体" w:eastAsia="仿宋_GB2312" w:cs="黑体"/>
          <w:color w:val="000000"/>
          <w:sz w:val="32"/>
          <w:szCs w:val="32"/>
        </w:rPr>
        <w:t>做好网络安全</w:t>
      </w:r>
      <w:r>
        <w:rPr>
          <w:rFonts w:hint="eastAsia" w:ascii="仿宋_GB2312" w:hAnsi="宋体" w:eastAsia="仿宋_GB2312" w:cs="黑体"/>
          <w:color w:val="000000"/>
          <w:sz w:val="32"/>
          <w:szCs w:val="32"/>
        </w:rPr>
        <w:t>检查</w:t>
      </w:r>
      <w:r>
        <w:rPr>
          <w:rFonts w:ascii="仿宋_GB2312" w:hAnsi="宋体" w:eastAsia="仿宋_GB2312" w:cs="黑体"/>
          <w:color w:val="000000"/>
          <w:sz w:val="32"/>
          <w:szCs w:val="32"/>
        </w:rPr>
        <w:t>工作。</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厅直各单位对检查过程中发现的问题应当限期完成整改，并将整改结果及时报厅网信办。</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厅直各单位网络安全主要负责人应当加强</w:t>
      </w:r>
      <w:r>
        <w:rPr>
          <w:rFonts w:ascii="仿宋_GB2312" w:hAnsi="宋体" w:eastAsia="仿宋_GB2312" w:cs="黑体"/>
          <w:color w:val="000000"/>
          <w:sz w:val="32"/>
          <w:szCs w:val="32"/>
        </w:rPr>
        <w:t>本单位网络安全工作的</w:t>
      </w:r>
      <w:r>
        <w:rPr>
          <w:rFonts w:hint="eastAsia" w:ascii="仿宋_GB2312" w:hAnsi="宋体" w:eastAsia="仿宋_GB2312" w:cs="黑体"/>
          <w:color w:val="000000"/>
          <w:sz w:val="32"/>
          <w:szCs w:val="32"/>
        </w:rPr>
        <w:t>统筹管理，</w:t>
      </w:r>
      <w:r>
        <w:rPr>
          <w:rFonts w:ascii="仿宋_GB2312" w:hAnsi="宋体" w:eastAsia="仿宋_GB2312" w:cs="黑体"/>
          <w:color w:val="000000"/>
          <w:sz w:val="32"/>
          <w:szCs w:val="32"/>
        </w:rPr>
        <w:t>定期听取</w:t>
      </w:r>
      <w:r>
        <w:rPr>
          <w:rFonts w:hint="eastAsia" w:ascii="仿宋_GB2312" w:hAnsi="宋体" w:eastAsia="仿宋_GB2312" w:cs="黑体"/>
          <w:color w:val="000000"/>
          <w:sz w:val="32"/>
          <w:szCs w:val="32"/>
        </w:rPr>
        <w:t>工作汇报</w:t>
      </w:r>
      <w:r>
        <w:rPr>
          <w:rFonts w:ascii="仿宋_GB2312" w:hAnsi="宋体" w:eastAsia="仿宋_GB2312" w:cs="黑体"/>
          <w:color w:val="000000"/>
          <w:sz w:val="32"/>
          <w:szCs w:val="32"/>
        </w:rPr>
        <w:t>、协调解决重大问题，组织落实</w:t>
      </w:r>
      <w:r>
        <w:rPr>
          <w:rFonts w:hint="eastAsia" w:ascii="仿宋_GB2312" w:hAnsi="宋体" w:eastAsia="仿宋_GB2312" w:cs="黑体"/>
          <w:color w:val="000000"/>
          <w:sz w:val="32"/>
          <w:szCs w:val="32"/>
        </w:rPr>
        <w:t>机构</w:t>
      </w:r>
      <w:r>
        <w:rPr>
          <w:rFonts w:ascii="仿宋_GB2312" w:hAnsi="宋体" w:eastAsia="仿宋_GB2312" w:cs="黑体"/>
          <w:color w:val="000000"/>
          <w:sz w:val="32"/>
          <w:szCs w:val="32"/>
        </w:rPr>
        <w:t>、人员和经费</w:t>
      </w:r>
      <w:r>
        <w:rPr>
          <w:rFonts w:hint="eastAsia" w:ascii="仿宋_GB2312" w:hAnsi="宋体" w:eastAsia="仿宋_GB2312" w:cs="黑体"/>
          <w:color w:val="000000"/>
          <w:sz w:val="32"/>
          <w:szCs w:val="32"/>
        </w:rPr>
        <w:t>等</w:t>
      </w:r>
      <w:r>
        <w:rPr>
          <w:rFonts w:ascii="仿宋_GB2312" w:hAnsi="宋体" w:eastAsia="仿宋_GB2312" w:cs="黑体"/>
          <w:color w:val="000000"/>
          <w:sz w:val="32"/>
          <w:szCs w:val="32"/>
        </w:rPr>
        <w:t>必要条件。</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厅直各单位应当将网络</w:t>
      </w:r>
      <w:r>
        <w:rPr>
          <w:rFonts w:ascii="仿宋_GB2312" w:hAnsi="宋体" w:eastAsia="仿宋_GB2312" w:cs="黑体"/>
          <w:color w:val="000000"/>
          <w:sz w:val="32"/>
          <w:szCs w:val="32"/>
        </w:rPr>
        <w:t>安全</w:t>
      </w:r>
      <w:r>
        <w:rPr>
          <w:rFonts w:hint="eastAsia" w:ascii="仿宋_GB2312" w:hAnsi="宋体" w:eastAsia="仿宋_GB2312" w:cs="黑体"/>
          <w:color w:val="000000"/>
          <w:sz w:val="32"/>
          <w:szCs w:val="32"/>
        </w:rPr>
        <w:t>运行管理、教育培训、安全检查、测试评估、监测预警、应急处置等费用纳入年度预算，</w:t>
      </w:r>
      <w:r>
        <w:rPr>
          <w:rFonts w:ascii="仿宋_GB2312" w:hAnsi="宋体" w:eastAsia="仿宋_GB2312" w:cs="黑体"/>
          <w:color w:val="000000"/>
          <w:sz w:val="32"/>
          <w:szCs w:val="32"/>
        </w:rPr>
        <w:t>保障</w:t>
      </w:r>
      <w:r>
        <w:rPr>
          <w:rFonts w:hint="eastAsia" w:ascii="仿宋_GB2312" w:hAnsi="宋体" w:eastAsia="仿宋_GB2312" w:cs="黑体"/>
          <w:color w:val="000000"/>
          <w:sz w:val="32"/>
          <w:szCs w:val="32"/>
        </w:rPr>
        <w:t>网络</w:t>
      </w:r>
      <w:r>
        <w:rPr>
          <w:rFonts w:ascii="仿宋_GB2312" w:hAnsi="宋体" w:eastAsia="仿宋_GB2312" w:cs="黑体"/>
          <w:color w:val="000000"/>
          <w:sz w:val="32"/>
          <w:szCs w:val="32"/>
        </w:rPr>
        <w:t>安全</w:t>
      </w:r>
      <w:r>
        <w:rPr>
          <w:rFonts w:hint="eastAsia" w:ascii="仿宋_GB2312" w:hAnsi="宋体" w:eastAsia="仿宋_GB2312" w:cs="黑体"/>
          <w:color w:val="000000"/>
          <w:sz w:val="32"/>
          <w:szCs w:val="32"/>
        </w:rPr>
        <w:t>经费投入。</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厅直各单位</w:t>
      </w:r>
      <w:r>
        <w:rPr>
          <w:rFonts w:ascii="仿宋_GB2312" w:hAnsi="宋体" w:eastAsia="仿宋_GB2312" w:cs="黑体"/>
          <w:color w:val="000000"/>
          <w:sz w:val="32"/>
          <w:szCs w:val="32"/>
        </w:rPr>
        <w:t>应</w:t>
      </w:r>
      <w:r>
        <w:rPr>
          <w:rFonts w:hint="eastAsia" w:ascii="仿宋_GB2312" w:hAnsi="宋体" w:eastAsia="仿宋_GB2312" w:cs="黑体"/>
          <w:color w:val="000000"/>
          <w:sz w:val="32"/>
          <w:szCs w:val="32"/>
        </w:rPr>
        <w:t>当组织开展网络安全教育工作，</w:t>
      </w:r>
      <w:r>
        <w:rPr>
          <w:rFonts w:ascii="仿宋_GB2312" w:hAnsi="宋体" w:eastAsia="仿宋_GB2312" w:cs="黑体"/>
          <w:color w:val="000000"/>
          <w:sz w:val="32"/>
          <w:szCs w:val="32"/>
        </w:rPr>
        <w:t>加强全员网络安全意识</w:t>
      </w:r>
      <w:r>
        <w:rPr>
          <w:rFonts w:hint="eastAsia" w:ascii="仿宋_GB2312" w:hAnsi="宋体" w:eastAsia="仿宋_GB2312" w:cs="黑体"/>
          <w:color w:val="000000"/>
          <w:sz w:val="32"/>
          <w:szCs w:val="32"/>
        </w:rPr>
        <w:t>和知识</w:t>
      </w:r>
      <w:r>
        <w:rPr>
          <w:rFonts w:ascii="仿宋_GB2312" w:hAnsi="宋体" w:eastAsia="仿宋_GB2312" w:cs="黑体"/>
          <w:color w:val="000000"/>
          <w:sz w:val="32"/>
          <w:szCs w:val="32"/>
        </w:rPr>
        <w:t>技能</w:t>
      </w:r>
      <w:r>
        <w:rPr>
          <w:rFonts w:hint="eastAsia" w:ascii="仿宋_GB2312" w:hAnsi="宋体" w:eastAsia="仿宋_GB2312" w:cs="黑体"/>
          <w:color w:val="000000"/>
          <w:sz w:val="32"/>
          <w:szCs w:val="32"/>
        </w:rPr>
        <w:t>培训。</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对违反</w:t>
      </w:r>
      <w:r>
        <w:rPr>
          <w:rFonts w:ascii="仿宋_GB2312" w:hAnsi="宋体" w:eastAsia="仿宋_GB2312" w:cs="黑体"/>
          <w:color w:val="000000"/>
          <w:sz w:val="32"/>
          <w:szCs w:val="32"/>
        </w:rPr>
        <w:t>本办法规定的，视情</w:t>
      </w:r>
      <w:r>
        <w:rPr>
          <w:rFonts w:hint="eastAsia" w:ascii="仿宋_GB2312" w:hAnsi="宋体" w:eastAsia="仿宋_GB2312" w:cs="黑体"/>
          <w:color w:val="000000"/>
          <w:sz w:val="32"/>
          <w:szCs w:val="32"/>
        </w:rPr>
        <w:t>追究</w:t>
      </w:r>
      <w:r>
        <w:rPr>
          <w:rFonts w:ascii="仿宋_GB2312" w:hAnsi="宋体" w:eastAsia="仿宋_GB2312" w:cs="黑体"/>
          <w:color w:val="000000"/>
          <w:sz w:val="32"/>
          <w:szCs w:val="32"/>
        </w:rPr>
        <w:t>相关单位责任，由上级交通运输主管单位责令限期改正</w:t>
      </w:r>
      <w:r>
        <w:rPr>
          <w:rFonts w:hint="eastAsia" w:ascii="仿宋_GB2312" w:hAnsi="宋体" w:eastAsia="仿宋_GB2312" w:cs="黑体"/>
          <w:color w:val="000000"/>
          <w:sz w:val="32"/>
          <w:szCs w:val="32"/>
        </w:rPr>
        <w:t>、</w:t>
      </w:r>
      <w:r>
        <w:rPr>
          <w:rFonts w:ascii="仿宋_GB2312" w:hAnsi="宋体" w:eastAsia="仿宋_GB2312" w:cs="黑体"/>
          <w:color w:val="000000"/>
          <w:sz w:val="32"/>
          <w:szCs w:val="32"/>
        </w:rPr>
        <w:t>暂停业务。逾期</w:t>
      </w:r>
      <w:r>
        <w:rPr>
          <w:rFonts w:hint="eastAsia" w:ascii="仿宋_GB2312" w:hAnsi="宋体" w:eastAsia="仿宋_GB2312" w:cs="黑体"/>
          <w:color w:val="000000"/>
          <w:sz w:val="32"/>
          <w:szCs w:val="32"/>
        </w:rPr>
        <w:t>未</w:t>
      </w:r>
      <w:r>
        <w:rPr>
          <w:rFonts w:ascii="仿宋_GB2312" w:hAnsi="宋体" w:eastAsia="仿宋_GB2312" w:cs="黑体"/>
          <w:color w:val="000000"/>
          <w:sz w:val="32"/>
          <w:szCs w:val="32"/>
        </w:rPr>
        <w:t>改正的，</w:t>
      </w:r>
      <w:r>
        <w:rPr>
          <w:rFonts w:hint="eastAsia" w:ascii="仿宋_GB2312" w:hAnsi="宋体" w:eastAsia="仿宋_GB2312" w:cs="黑体"/>
          <w:color w:val="000000"/>
          <w:sz w:val="32"/>
          <w:szCs w:val="32"/>
        </w:rPr>
        <w:t>给予</w:t>
      </w:r>
      <w:r>
        <w:rPr>
          <w:rFonts w:ascii="仿宋_GB2312" w:hAnsi="宋体" w:eastAsia="仿宋_GB2312" w:cs="黑体"/>
          <w:color w:val="000000"/>
          <w:sz w:val="32"/>
          <w:szCs w:val="32"/>
        </w:rPr>
        <w:t>通报批评，</w:t>
      </w:r>
      <w:r>
        <w:rPr>
          <w:rFonts w:hint="eastAsia" w:ascii="仿宋_GB2312" w:hAnsi="宋体" w:eastAsia="仿宋_GB2312" w:cs="黑体"/>
          <w:color w:val="000000"/>
          <w:sz w:val="32"/>
          <w:szCs w:val="32"/>
        </w:rPr>
        <w:t>视</w:t>
      </w:r>
      <w:r>
        <w:rPr>
          <w:rFonts w:ascii="仿宋_GB2312" w:hAnsi="宋体" w:eastAsia="仿宋_GB2312" w:cs="黑体"/>
          <w:color w:val="000000"/>
          <w:sz w:val="32"/>
          <w:szCs w:val="32"/>
        </w:rPr>
        <w:t>情对主要</w:t>
      </w:r>
      <w:r>
        <w:rPr>
          <w:rFonts w:hint="eastAsia" w:ascii="仿宋_GB2312" w:hAnsi="宋体" w:eastAsia="仿宋_GB2312" w:cs="黑体"/>
          <w:color w:val="000000"/>
          <w:sz w:val="32"/>
          <w:szCs w:val="32"/>
        </w:rPr>
        <w:t>负责</w:t>
      </w:r>
      <w:r>
        <w:rPr>
          <w:rFonts w:ascii="仿宋_GB2312" w:hAnsi="宋体" w:eastAsia="仿宋_GB2312" w:cs="黑体"/>
          <w:color w:val="000000"/>
          <w:sz w:val="32"/>
          <w:szCs w:val="32"/>
        </w:rPr>
        <w:t>同志进行约谈。情</w:t>
      </w:r>
      <w:r>
        <w:rPr>
          <w:rFonts w:hint="eastAsia" w:ascii="仿宋_GB2312" w:hAnsi="宋体" w:eastAsia="仿宋_GB2312" w:cs="黑体"/>
          <w:color w:val="000000"/>
          <w:sz w:val="32"/>
          <w:szCs w:val="32"/>
        </w:rPr>
        <w:t>节</w:t>
      </w:r>
      <w:r>
        <w:rPr>
          <w:rFonts w:ascii="仿宋_GB2312" w:hAnsi="宋体" w:eastAsia="仿宋_GB2312" w:cs="黑体"/>
          <w:color w:val="000000"/>
          <w:sz w:val="32"/>
          <w:szCs w:val="32"/>
        </w:rPr>
        <w:t>严重</w:t>
      </w:r>
      <w:r>
        <w:rPr>
          <w:rFonts w:hint="eastAsia" w:ascii="仿宋_GB2312" w:hAnsi="宋体" w:eastAsia="仿宋_GB2312" w:cs="黑体"/>
          <w:color w:val="000000"/>
          <w:sz w:val="32"/>
          <w:szCs w:val="32"/>
        </w:rPr>
        <w:t>并</w:t>
      </w:r>
      <w:r>
        <w:rPr>
          <w:rFonts w:ascii="仿宋_GB2312" w:hAnsi="宋体" w:eastAsia="仿宋_GB2312" w:cs="黑体"/>
          <w:color w:val="000000"/>
          <w:sz w:val="32"/>
          <w:szCs w:val="32"/>
        </w:rPr>
        <w:t>造</w:t>
      </w:r>
      <w:r>
        <w:rPr>
          <w:rFonts w:hint="eastAsia" w:ascii="仿宋_GB2312" w:hAnsi="宋体" w:eastAsia="仿宋_GB2312" w:cs="黑体"/>
          <w:color w:val="000000"/>
          <w:sz w:val="32"/>
          <w:szCs w:val="32"/>
        </w:rPr>
        <w:t>成</w:t>
      </w:r>
      <w:r>
        <w:rPr>
          <w:rFonts w:ascii="仿宋_GB2312" w:hAnsi="宋体" w:eastAsia="仿宋_GB2312" w:cs="黑体"/>
          <w:color w:val="000000"/>
          <w:sz w:val="32"/>
          <w:szCs w:val="32"/>
        </w:rPr>
        <w:t>不良影响的，依照有关法律法规和网络安全工作责任制有关规定，启动问责程序，逐级倒</w:t>
      </w:r>
      <w:r>
        <w:rPr>
          <w:rFonts w:hint="eastAsia" w:ascii="仿宋_GB2312" w:hAnsi="宋体" w:eastAsia="仿宋_GB2312" w:cs="黑体"/>
          <w:color w:val="000000"/>
          <w:sz w:val="32"/>
          <w:szCs w:val="32"/>
        </w:rPr>
        <w:t>查</w:t>
      </w:r>
      <w:r>
        <w:rPr>
          <w:rFonts w:ascii="仿宋_GB2312" w:hAnsi="宋体" w:eastAsia="仿宋_GB2312" w:cs="黑体"/>
          <w:color w:val="000000"/>
          <w:sz w:val="32"/>
          <w:szCs w:val="32"/>
        </w:rPr>
        <w:t>，追究当事人</w:t>
      </w:r>
      <w:r>
        <w:rPr>
          <w:rFonts w:hint="eastAsia" w:ascii="仿宋_GB2312" w:hAnsi="宋体" w:eastAsia="仿宋_GB2312" w:cs="黑体"/>
          <w:color w:val="000000"/>
          <w:sz w:val="32"/>
          <w:szCs w:val="32"/>
        </w:rPr>
        <w:t>、</w:t>
      </w:r>
      <w:r>
        <w:rPr>
          <w:rFonts w:ascii="仿宋_GB2312" w:hAnsi="宋体" w:eastAsia="仿宋_GB2312" w:cs="黑体"/>
          <w:color w:val="000000"/>
          <w:sz w:val="32"/>
          <w:szCs w:val="32"/>
        </w:rPr>
        <w:t>网络安全负责人直</w:t>
      </w:r>
      <w:r>
        <w:rPr>
          <w:rFonts w:hint="eastAsia" w:ascii="仿宋_GB2312" w:hAnsi="宋体" w:eastAsia="仿宋_GB2312" w:cs="黑体"/>
          <w:color w:val="000000"/>
          <w:sz w:val="32"/>
          <w:szCs w:val="32"/>
        </w:rPr>
        <w:t>至</w:t>
      </w:r>
      <w:r>
        <w:rPr>
          <w:rFonts w:ascii="仿宋_GB2312" w:hAnsi="宋体" w:eastAsia="仿宋_GB2312" w:cs="黑体"/>
          <w:color w:val="000000"/>
          <w:sz w:val="32"/>
          <w:szCs w:val="32"/>
        </w:rPr>
        <w:t>主要负责人责任，协调监管不力的，</w:t>
      </w:r>
      <w:r>
        <w:rPr>
          <w:rFonts w:hint="eastAsia" w:ascii="仿宋_GB2312" w:hAnsi="宋体" w:eastAsia="仿宋_GB2312" w:cs="黑体"/>
          <w:color w:val="000000"/>
          <w:sz w:val="32"/>
          <w:szCs w:val="32"/>
        </w:rPr>
        <w:t>还</w:t>
      </w:r>
      <w:r>
        <w:rPr>
          <w:rFonts w:ascii="仿宋_GB2312" w:hAnsi="宋体" w:eastAsia="仿宋_GB2312" w:cs="黑体"/>
          <w:color w:val="000000"/>
          <w:sz w:val="32"/>
          <w:szCs w:val="32"/>
        </w:rPr>
        <w:t>应</w:t>
      </w:r>
      <w:r>
        <w:rPr>
          <w:rFonts w:hint="eastAsia" w:ascii="仿宋_GB2312" w:hAnsi="宋体" w:eastAsia="仿宋_GB2312" w:cs="黑体"/>
          <w:color w:val="000000"/>
          <w:sz w:val="32"/>
          <w:szCs w:val="32"/>
        </w:rPr>
        <w:t>当</w:t>
      </w:r>
      <w:r>
        <w:rPr>
          <w:rFonts w:ascii="仿宋_GB2312" w:hAnsi="宋体" w:eastAsia="仿宋_GB2312" w:cs="黑体"/>
          <w:color w:val="000000"/>
          <w:sz w:val="32"/>
          <w:szCs w:val="32"/>
        </w:rPr>
        <w:t>追究</w:t>
      </w:r>
      <w:r>
        <w:rPr>
          <w:rFonts w:hint="eastAsia" w:ascii="仿宋_GB2312" w:hAnsi="宋体" w:eastAsia="仿宋_GB2312" w:cs="黑体"/>
          <w:color w:val="000000"/>
          <w:sz w:val="32"/>
          <w:szCs w:val="32"/>
        </w:rPr>
        <w:t>综合</w:t>
      </w:r>
      <w:r>
        <w:rPr>
          <w:rFonts w:ascii="仿宋_GB2312" w:hAnsi="宋体" w:eastAsia="仿宋_GB2312" w:cs="黑体"/>
          <w:color w:val="000000"/>
          <w:sz w:val="32"/>
          <w:szCs w:val="32"/>
        </w:rPr>
        <w:t>协调或监</w:t>
      </w:r>
      <w:r>
        <w:rPr>
          <w:rFonts w:hint="eastAsia" w:ascii="仿宋_GB2312" w:hAnsi="宋体" w:eastAsia="仿宋_GB2312" w:cs="黑体"/>
          <w:color w:val="000000"/>
          <w:sz w:val="32"/>
          <w:szCs w:val="32"/>
        </w:rPr>
        <w:t>管</w:t>
      </w:r>
      <w:r>
        <w:rPr>
          <w:rFonts w:ascii="仿宋_GB2312" w:hAnsi="宋体" w:eastAsia="仿宋_GB2312" w:cs="黑体"/>
          <w:color w:val="000000"/>
          <w:sz w:val="32"/>
          <w:szCs w:val="32"/>
        </w:rPr>
        <w:t>部门负责人责任。</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违反</w:t>
      </w:r>
      <w:r>
        <w:rPr>
          <w:rFonts w:ascii="仿宋_GB2312" w:hAnsi="宋体" w:eastAsia="仿宋_GB2312" w:cs="黑体"/>
          <w:color w:val="000000"/>
          <w:sz w:val="32"/>
          <w:szCs w:val="32"/>
        </w:rPr>
        <w:t>本办法规定，涉及使</w:t>
      </w:r>
      <w:r>
        <w:rPr>
          <w:rFonts w:hint="eastAsia" w:ascii="仿宋_GB2312" w:hAnsi="宋体" w:eastAsia="仿宋_GB2312" w:cs="黑体"/>
          <w:color w:val="000000"/>
          <w:sz w:val="32"/>
          <w:szCs w:val="32"/>
        </w:rPr>
        <w:t>公</w:t>
      </w:r>
      <w:r>
        <w:rPr>
          <w:rFonts w:ascii="仿宋_GB2312" w:hAnsi="宋体" w:eastAsia="仿宋_GB2312" w:cs="黑体"/>
          <w:color w:val="000000"/>
          <w:sz w:val="32"/>
          <w:szCs w:val="32"/>
        </w:rPr>
        <w:t>民、法人</w:t>
      </w:r>
      <w:r>
        <w:rPr>
          <w:rFonts w:hint="eastAsia" w:ascii="仿宋_GB2312" w:hAnsi="宋体" w:eastAsia="仿宋_GB2312" w:cs="黑体"/>
          <w:color w:val="000000"/>
          <w:sz w:val="32"/>
          <w:szCs w:val="32"/>
        </w:rPr>
        <w:t>或</w:t>
      </w:r>
      <w:r>
        <w:rPr>
          <w:rFonts w:ascii="仿宋_GB2312" w:hAnsi="宋体" w:eastAsia="仿宋_GB2312" w:cs="黑体"/>
          <w:color w:val="000000"/>
          <w:sz w:val="32"/>
          <w:szCs w:val="32"/>
        </w:rPr>
        <w:t>者其他</w:t>
      </w:r>
      <w:r>
        <w:rPr>
          <w:rFonts w:hint="eastAsia" w:ascii="仿宋_GB2312" w:hAnsi="宋体" w:eastAsia="仿宋_GB2312" w:cs="黑体"/>
          <w:color w:val="000000"/>
          <w:sz w:val="32"/>
          <w:szCs w:val="32"/>
        </w:rPr>
        <w:t>组织</w:t>
      </w:r>
      <w:r>
        <w:rPr>
          <w:rFonts w:ascii="仿宋_GB2312" w:hAnsi="宋体" w:eastAsia="仿宋_GB2312" w:cs="黑体"/>
          <w:color w:val="000000"/>
          <w:sz w:val="32"/>
          <w:szCs w:val="32"/>
        </w:rPr>
        <w:t>的合法利益受到</w:t>
      </w:r>
      <w:r>
        <w:rPr>
          <w:rFonts w:hint="eastAsia" w:ascii="仿宋_GB2312" w:hAnsi="宋体" w:eastAsia="仿宋_GB2312" w:cs="黑体"/>
          <w:color w:val="000000"/>
          <w:sz w:val="32"/>
          <w:szCs w:val="32"/>
        </w:rPr>
        <w:t>侵害</w:t>
      </w:r>
      <w:r>
        <w:rPr>
          <w:rFonts w:ascii="仿宋_GB2312" w:hAnsi="宋体" w:eastAsia="仿宋_GB2312" w:cs="黑体"/>
          <w:color w:val="000000"/>
          <w:sz w:val="32"/>
          <w:szCs w:val="32"/>
        </w:rPr>
        <w:t>的，依法承担民事责任；涉嫌违法犯罪的，</w:t>
      </w:r>
      <w:r>
        <w:rPr>
          <w:rFonts w:hint="eastAsia" w:ascii="仿宋_GB2312" w:hAnsi="宋体" w:eastAsia="仿宋_GB2312" w:cs="黑体"/>
          <w:color w:val="000000"/>
          <w:sz w:val="32"/>
          <w:szCs w:val="32"/>
        </w:rPr>
        <w:t>移送</w:t>
      </w:r>
      <w:r>
        <w:rPr>
          <w:rFonts w:ascii="仿宋_GB2312" w:hAnsi="宋体" w:eastAsia="仿宋_GB2312" w:cs="黑体"/>
          <w:color w:val="000000"/>
          <w:sz w:val="32"/>
          <w:szCs w:val="32"/>
        </w:rPr>
        <w:t>公安机关处理。</w:t>
      </w:r>
    </w:p>
    <w:p>
      <w:pPr>
        <w:pStyle w:val="2"/>
        <w:spacing w:before="260" w:beforeLines="0" w:after="260" w:afterLines="0"/>
        <w:jc w:val="center"/>
        <w:rPr>
          <w:rFonts w:ascii="黑体" w:hAnsi="黑体"/>
          <w:b/>
        </w:rPr>
      </w:pPr>
      <w:r>
        <w:rPr>
          <w:rFonts w:hint="eastAsia" w:ascii="黑体" w:hAnsi="黑体"/>
          <w:b/>
        </w:rPr>
        <w:t>第八章 附则</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本办法相关术语含义：</w:t>
      </w:r>
    </w:p>
    <w:p>
      <w:pPr>
        <w:tabs>
          <w:tab w:val="left" w:pos="0"/>
        </w:tabs>
        <w:spacing w:line="360" w:lineRule="auto"/>
        <w:ind w:firstLine="640"/>
        <w:rPr>
          <w:rFonts w:ascii="仿宋_GB2312" w:hAnsi="宋体" w:eastAsia="仿宋_GB2312"/>
          <w:color w:val="000000"/>
          <w:sz w:val="32"/>
          <w:szCs w:val="32"/>
        </w:rPr>
      </w:pPr>
      <w:r>
        <w:rPr>
          <w:rFonts w:hint="eastAsia" w:ascii="仿宋_GB2312" w:hAnsi="宋体" w:eastAsia="仿宋_GB2312"/>
          <w:color w:val="000000"/>
          <w:sz w:val="32"/>
          <w:szCs w:val="32"/>
        </w:rPr>
        <w:t>（一）网络，是指由计算机或者其他信息终端及相关设备组成的按照一定规则和程序对信息进行收集、存储、传输、交换、处理的系统。</w:t>
      </w:r>
    </w:p>
    <w:p>
      <w:pPr>
        <w:tabs>
          <w:tab w:val="left" w:pos="0"/>
        </w:tabs>
        <w:spacing w:line="360" w:lineRule="auto"/>
        <w:ind w:firstLine="640"/>
        <w:rPr>
          <w:rFonts w:ascii="仿宋_GB2312" w:hAnsi="宋体" w:eastAsia="仿宋_GB2312"/>
          <w:color w:val="000000"/>
          <w:sz w:val="32"/>
          <w:szCs w:val="32"/>
        </w:rPr>
      </w:pPr>
      <w:r>
        <w:rPr>
          <w:rFonts w:hint="eastAsia" w:ascii="仿宋_GB2312" w:hAnsi="宋体" w:eastAsia="仿宋_GB2312"/>
          <w:color w:val="000000"/>
          <w:sz w:val="32"/>
          <w:szCs w:val="32"/>
        </w:rPr>
        <w:t>（二）网络安全，是指网络空间的安全，是通过采取必要措施，防范对网络的攻击、侵入、干扰、破坏和非法使用以及意外事故，使网络处于稳定可靠运行的状态，以及保障网络数据的完整性、保密性、可用性的能力。</w:t>
      </w:r>
    </w:p>
    <w:p>
      <w:pPr>
        <w:tabs>
          <w:tab w:val="left" w:pos="0"/>
        </w:tabs>
        <w:spacing w:line="360" w:lineRule="auto"/>
        <w:ind w:firstLine="640"/>
        <w:rPr>
          <w:rFonts w:ascii="仿宋_GB2312" w:hAnsi="宋体" w:eastAsia="仿宋_GB2312"/>
          <w:color w:val="000000"/>
          <w:sz w:val="32"/>
          <w:szCs w:val="32"/>
        </w:rPr>
      </w:pPr>
      <w:r>
        <w:rPr>
          <w:rFonts w:hint="eastAsia" w:ascii="仿宋_GB2312" w:hAnsi="宋体" w:eastAsia="仿宋_GB2312"/>
          <w:color w:val="000000"/>
          <w:sz w:val="32"/>
          <w:szCs w:val="32"/>
        </w:rPr>
        <w:t>（三）信息安全等级保护制度，是《网安法》规定的网络安全实行的管理制度，是指对国家秘密信息、法人或其他组织及公民专有信息以及公开信息和存储、传输、处理这些信息的信息系统分等级实行安全保护，对信息系统中使用的安全产品实行按等级管理，对信息系统中发生的信息安全事件分等级进行响应、处置。</w:t>
      </w:r>
    </w:p>
    <w:p>
      <w:pPr>
        <w:tabs>
          <w:tab w:val="left" w:pos="0"/>
        </w:tabs>
        <w:spacing w:line="360" w:lineRule="auto"/>
        <w:ind w:firstLine="640"/>
        <w:rPr>
          <w:rFonts w:ascii="仿宋_GB2312" w:hAnsi="宋体" w:eastAsia="仿宋_GB2312"/>
          <w:color w:val="000000"/>
          <w:sz w:val="32"/>
          <w:szCs w:val="32"/>
        </w:rPr>
      </w:pPr>
      <w:r>
        <w:rPr>
          <w:rFonts w:hint="eastAsia" w:ascii="仿宋_GB2312" w:hAnsi="宋体" w:eastAsia="仿宋_GB2312"/>
          <w:color w:val="000000"/>
          <w:sz w:val="32"/>
          <w:szCs w:val="32"/>
        </w:rPr>
        <w:t>（四）</w:t>
      </w:r>
      <w:r>
        <w:rPr>
          <w:rFonts w:ascii="仿宋_GB2312" w:hAnsi="宋体" w:eastAsia="仿宋_GB2312"/>
          <w:color w:val="000000"/>
          <w:sz w:val="32"/>
          <w:szCs w:val="32"/>
        </w:rPr>
        <w:t>网络安全事件</w:t>
      </w:r>
      <w:r>
        <w:rPr>
          <w:rFonts w:hint="eastAsia" w:ascii="仿宋_GB2312" w:hAnsi="宋体" w:eastAsia="仿宋_GB2312"/>
          <w:color w:val="000000"/>
          <w:sz w:val="32"/>
          <w:szCs w:val="32"/>
        </w:rPr>
        <w:t>，</w:t>
      </w:r>
      <w:r>
        <w:rPr>
          <w:rFonts w:ascii="仿宋_GB2312" w:hAnsi="宋体" w:eastAsia="仿宋_GB2312"/>
          <w:color w:val="000000"/>
          <w:sz w:val="32"/>
          <w:szCs w:val="32"/>
        </w:rPr>
        <w:t>是指由于人为原因、软硬件缺陷或故障、自然灾害等，对网络和信息系统或者其中的数据造成危害，对社会造成负面影响的事件，可分为</w:t>
      </w:r>
      <w:r>
        <w:rPr>
          <w:rFonts w:hint="eastAsia" w:ascii="仿宋_GB2312" w:hAnsi="宋体" w:eastAsia="仿宋_GB2312"/>
          <w:color w:val="000000"/>
          <w:sz w:val="32"/>
          <w:szCs w:val="32"/>
        </w:rPr>
        <w:t>：</w:t>
      </w:r>
      <w:r>
        <w:rPr>
          <w:rFonts w:ascii="仿宋_GB2312" w:hAnsi="宋体" w:eastAsia="仿宋_GB2312"/>
          <w:color w:val="000000"/>
          <w:sz w:val="32"/>
          <w:szCs w:val="32"/>
        </w:rPr>
        <w:t>信息内容安全事件</w:t>
      </w:r>
      <w:r>
        <w:rPr>
          <w:rFonts w:hint="eastAsia" w:ascii="仿宋_GB2312" w:hAnsi="宋体" w:eastAsia="仿宋_GB2312"/>
          <w:color w:val="000000"/>
          <w:sz w:val="32"/>
          <w:szCs w:val="32"/>
        </w:rPr>
        <w:t>、信息窃取事件、网络服务异常事件、有害程序事件、信息破坏事件、设备</w:t>
      </w:r>
      <w:r>
        <w:rPr>
          <w:rFonts w:ascii="仿宋_GB2312" w:hAnsi="宋体" w:eastAsia="仿宋_GB2312"/>
          <w:color w:val="000000"/>
          <w:sz w:val="32"/>
          <w:szCs w:val="32"/>
        </w:rPr>
        <w:t>设施故障</w:t>
      </w:r>
      <w:r>
        <w:rPr>
          <w:rFonts w:hint="eastAsia" w:ascii="仿宋_GB2312" w:hAnsi="宋体" w:eastAsia="仿宋_GB2312"/>
          <w:color w:val="000000"/>
          <w:sz w:val="32"/>
          <w:szCs w:val="32"/>
        </w:rPr>
        <w:t>事件</w:t>
      </w:r>
      <w:r>
        <w:rPr>
          <w:rFonts w:ascii="仿宋_GB2312" w:hAnsi="宋体" w:eastAsia="仿宋_GB2312"/>
          <w:color w:val="000000"/>
          <w:sz w:val="32"/>
          <w:szCs w:val="32"/>
        </w:rPr>
        <w:t>、灾害性事件和其他</w:t>
      </w:r>
      <w:r>
        <w:rPr>
          <w:rFonts w:hint="eastAsia" w:ascii="仿宋_GB2312" w:hAnsi="宋体" w:eastAsia="仿宋_GB2312"/>
          <w:color w:val="000000"/>
          <w:sz w:val="32"/>
          <w:szCs w:val="32"/>
        </w:rPr>
        <w:t>网络安全</w:t>
      </w:r>
      <w:r>
        <w:rPr>
          <w:rFonts w:ascii="仿宋_GB2312" w:hAnsi="宋体" w:eastAsia="仿宋_GB2312"/>
          <w:color w:val="000000"/>
          <w:sz w:val="32"/>
          <w:szCs w:val="32"/>
        </w:rPr>
        <w:t>事件。</w:t>
      </w:r>
    </w:p>
    <w:p>
      <w:pPr>
        <w:tabs>
          <w:tab w:val="left" w:pos="0"/>
        </w:tabs>
        <w:spacing w:line="360" w:lineRule="auto"/>
        <w:ind w:firstLine="640"/>
        <w:rPr>
          <w:rFonts w:ascii="仿宋_GB2312" w:hAnsi="宋体" w:eastAsia="仿宋_GB2312"/>
          <w:color w:val="000000"/>
          <w:sz w:val="32"/>
          <w:szCs w:val="32"/>
        </w:rPr>
      </w:pPr>
      <w:r>
        <w:rPr>
          <w:rFonts w:hint="eastAsia" w:ascii="仿宋_GB2312" w:hAnsi="宋体" w:eastAsia="仿宋_GB2312"/>
          <w:color w:val="000000"/>
          <w:sz w:val="32"/>
          <w:szCs w:val="32"/>
        </w:rPr>
        <w:t>（五）个人信息，是指以电子或者其他方式记录的能够单独或者与其他信息结合识别自然人个人身份的各种信息，包括但不限于自然人的姓名、出生日期、身份证件号码、个人生物识别信息、住址、电话号码等。</w:t>
      </w:r>
    </w:p>
    <w:p>
      <w:pPr>
        <w:tabs>
          <w:tab w:val="left" w:pos="0"/>
        </w:tabs>
        <w:spacing w:line="360" w:lineRule="auto"/>
        <w:ind w:firstLine="640"/>
        <w:rPr>
          <w:rFonts w:ascii="仿宋_GB2312" w:hAnsi="宋体" w:eastAsia="仿宋_GB2312"/>
          <w:color w:val="000000"/>
          <w:sz w:val="32"/>
          <w:szCs w:val="32"/>
        </w:rPr>
      </w:pPr>
      <w:r>
        <w:rPr>
          <w:rFonts w:hint="eastAsia" w:ascii="仿宋_GB2312" w:hAnsi="宋体" w:eastAsia="仿宋_GB2312"/>
          <w:color w:val="000000"/>
          <w:sz w:val="32"/>
          <w:szCs w:val="32"/>
        </w:rPr>
        <w:t>（六）安全审计，是</w:t>
      </w:r>
      <w:r>
        <w:rPr>
          <w:rFonts w:ascii="仿宋_GB2312" w:hAnsi="宋体" w:eastAsia="仿宋_GB2312"/>
          <w:color w:val="000000"/>
          <w:sz w:val="32"/>
          <w:szCs w:val="32"/>
        </w:rPr>
        <w:t>计算机网络安全审计</w:t>
      </w:r>
      <w:r>
        <w:rPr>
          <w:rFonts w:hint="eastAsia" w:ascii="仿宋_GB2312" w:hAnsi="宋体" w:eastAsia="仿宋_GB2312"/>
          <w:color w:val="000000"/>
          <w:sz w:val="32"/>
          <w:szCs w:val="32"/>
        </w:rPr>
        <w:t>的简称，</w:t>
      </w:r>
      <w:r>
        <w:rPr>
          <w:rFonts w:ascii="仿宋_GB2312" w:hAnsi="宋体" w:eastAsia="仿宋_GB2312"/>
          <w:color w:val="000000"/>
          <w:sz w:val="32"/>
          <w:szCs w:val="32"/>
        </w:rPr>
        <w:t>对计算机网络环境下的有关活动或行为进行系统的、独立的检查验证，并</w:t>
      </w:r>
      <w:r>
        <w:rPr>
          <w:rFonts w:hint="eastAsia" w:ascii="仿宋_GB2312" w:hAnsi="宋体" w:eastAsia="仿宋_GB2312"/>
          <w:color w:val="000000"/>
          <w:sz w:val="32"/>
          <w:szCs w:val="32"/>
        </w:rPr>
        <w:t>做出</w:t>
      </w:r>
      <w:r>
        <w:rPr>
          <w:rFonts w:ascii="仿宋_GB2312" w:hAnsi="宋体" w:eastAsia="仿宋_GB2312"/>
          <w:color w:val="000000"/>
          <w:sz w:val="32"/>
          <w:szCs w:val="32"/>
        </w:rPr>
        <w:t>相应评价。</w:t>
      </w:r>
      <w:r>
        <w:rPr>
          <w:rFonts w:hint="eastAsia" w:ascii="仿宋_GB2312" w:hAnsi="宋体" w:eastAsia="仿宋_GB2312"/>
          <w:color w:val="000000"/>
          <w:sz w:val="32"/>
          <w:szCs w:val="32"/>
        </w:rPr>
        <w:t>代码安全审计是</w:t>
      </w:r>
      <w:r>
        <w:rPr>
          <w:rFonts w:ascii="仿宋_GB2312" w:hAnsi="宋体" w:eastAsia="仿宋_GB2312"/>
          <w:color w:val="000000"/>
          <w:sz w:val="32"/>
          <w:szCs w:val="32"/>
        </w:rPr>
        <w:t>检查</w:t>
      </w:r>
      <w:r>
        <w:fldChar w:fldCharType="begin"/>
      </w:r>
      <w:r>
        <w:instrText xml:space="preserve">HYPERLINK "https://baike.so.com/doc/5395725-7589481.html" \t "_blank" </w:instrText>
      </w:r>
      <w:r>
        <w:fldChar w:fldCharType="separate"/>
      </w:r>
      <w:r>
        <w:rPr>
          <w:rFonts w:ascii="仿宋_GB2312" w:hAnsi="宋体" w:eastAsia="仿宋_GB2312"/>
          <w:color w:val="000000"/>
          <w:sz w:val="32"/>
          <w:szCs w:val="32"/>
        </w:rPr>
        <w:t>源代码</w:t>
      </w:r>
      <w:r>
        <w:fldChar w:fldCharType="end"/>
      </w:r>
      <w:r>
        <w:rPr>
          <w:rFonts w:ascii="仿宋_GB2312" w:hAnsi="宋体" w:eastAsia="仿宋_GB2312"/>
          <w:color w:val="000000"/>
          <w:sz w:val="32"/>
          <w:szCs w:val="32"/>
        </w:rPr>
        <w:t>中的安全缺陷，检查程序源代码是否存在安全隐患，或者有编码不规范的地方</w:t>
      </w:r>
      <w:r>
        <w:rPr>
          <w:rFonts w:hint="eastAsia" w:ascii="仿宋_GB2312" w:hAnsi="宋体" w:eastAsia="仿宋_GB2312"/>
          <w:color w:val="000000"/>
          <w:sz w:val="32"/>
          <w:szCs w:val="32"/>
        </w:rPr>
        <w:t>。日志审计</w:t>
      </w:r>
      <w:r>
        <w:rPr>
          <w:rFonts w:ascii="仿宋_GB2312" w:hAnsi="宋体" w:eastAsia="仿宋_GB2312"/>
          <w:color w:val="000000"/>
          <w:sz w:val="32"/>
          <w:szCs w:val="32"/>
        </w:rPr>
        <w:t>是记录与审查用户操作计算机及网络系统活动的过程，从而发现系统漏洞、入侵行为</w:t>
      </w:r>
      <w:r>
        <w:rPr>
          <w:rFonts w:hint="eastAsia" w:ascii="仿宋_GB2312" w:hAnsi="宋体" w:eastAsia="仿宋_GB2312"/>
          <w:color w:val="000000"/>
          <w:sz w:val="32"/>
          <w:szCs w:val="32"/>
        </w:rPr>
        <w:t>，</w:t>
      </w:r>
      <w:r>
        <w:rPr>
          <w:rFonts w:ascii="仿宋_GB2312" w:hAnsi="宋体" w:eastAsia="仿宋_GB2312"/>
          <w:color w:val="000000"/>
          <w:sz w:val="32"/>
          <w:szCs w:val="32"/>
        </w:rPr>
        <w:t>是提高系统安全性的重要举措。</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本办法由厅网信办监督管理、修订完善及解释，厅直各单位和相关处室负责本办法的执行。</w:t>
      </w:r>
    </w:p>
    <w:p>
      <w:pPr>
        <w:pStyle w:val="15"/>
        <w:numPr>
          <w:ilvl w:val="0"/>
          <w:numId w:val="1"/>
        </w:numPr>
        <w:tabs>
          <w:tab w:val="left" w:pos="0"/>
        </w:tabs>
        <w:spacing w:line="600" w:lineRule="exact"/>
        <w:ind w:left="0" w:firstLine="640"/>
        <w:rPr>
          <w:rFonts w:ascii="仿宋_GB2312" w:hAnsi="宋体" w:eastAsia="仿宋_GB2312" w:cs="黑体"/>
          <w:color w:val="000000"/>
          <w:sz w:val="32"/>
          <w:szCs w:val="32"/>
        </w:rPr>
      </w:pPr>
      <w:r>
        <w:rPr>
          <w:rFonts w:hint="eastAsia" w:ascii="仿宋_GB2312" w:hAnsi="宋体" w:eastAsia="仿宋_GB2312" w:cs="黑体"/>
          <w:color w:val="000000"/>
          <w:sz w:val="32"/>
          <w:szCs w:val="32"/>
        </w:rPr>
        <w:t>本办法自发布之日起施行。</w:t>
      </w:r>
    </w:p>
    <w:p>
      <w:pPr>
        <w:tabs>
          <w:tab w:val="left" w:pos="0"/>
        </w:tabs>
        <w:spacing w:line="360" w:lineRule="auto"/>
        <w:ind w:firstLine="640"/>
        <w:rPr>
          <w:rFonts w:ascii="仿宋_GB2312" w:hAnsi="宋体" w:eastAsia="仿宋_GB2312"/>
          <w:color w:val="000000"/>
          <w:sz w:val="32"/>
          <w:szCs w:val="32"/>
        </w:rPr>
      </w:pPr>
    </w:p>
    <w:sectPr>
      <w:footerReference r:id="rId4" w:type="default"/>
      <w:pgSz w:w="11906" w:h="16838"/>
      <w:pgMar w:top="1985" w:right="1418" w:bottom="1701" w:left="1418" w:header="851" w:footer="79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0000000000000000000"/>
    <w:charset w:val="86"/>
    <w:family w:val="auto"/>
    <w:pitch w:val="default"/>
    <w:sig w:usb0="00000001" w:usb1="080E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auto"/>
    <w:pitch w:val="default"/>
    <w:sig w:usb0="00000001" w:usb1="080E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rPr>
        <w:rFonts w:ascii="Calibri" w:hAnsi="Calibri"/>
        <w:sz w:val="24"/>
        <w:szCs w:val="24"/>
      </w:rPr>
    </w:pPr>
    <w:r>
      <w:rPr>
        <w:rFonts w:ascii="Calibri" w:hAnsi="Calibri"/>
        <w:sz w:val="24"/>
        <w:szCs w:val="24"/>
      </w:rPr>
      <w:fldChar w:fldCharType="begin"/>
    </w:r>
    <w:r>
      <w:rPr>
        <w:rFonts w:ascii="Calibri" w:hAnsi="Calibri"/>
        <w:sz w:val="24"/>
        <w:szCs w:val="24"/>
      </w:rPr>
      <w:instrText xml:space="preserve">PAGE   \* MERGEFORMAT</w:instrText>
    </w:r>
    <w:r>
      <w:rPr>
        <w:rFonts w:ascii="Calibri" w:hAnsi="Calibri"/>
        <w:sz w:val="24"/>
        <w:szCs w:val="24"/>
      </w:rPr>
      <w:fldChar w:fldCharType="separate"/>
    </w:r>
    <w:r>
      <w:rPr>
        <w:rFonts w:ascii="Calibri" w:hAnsi="Calibri"/>
        <w:sz w:val="24"/>
        <w:szCs w:val="24"/>
        <w:lang w:val="zh-CN"/>
      </w:rPr>
      <w:t>1</w:t>
    </w:r>
    <w:r>
      <w:rPr>
        <w:rFonts w:ascii="Calibri" w:hAnsi="Calibri"/>
        <w:sz w:val="24"/>
        <w:szCs w:val="24"/>
      </w:rPr>
      <w:fldChar w:fldCharType="end"/>
    </w:r>
    <w:r>
      <w:rPr>
        <w:rFonts w:ascii="Calibri" w:hAnsi="Calibri"/>
        <w:sz w:val="24"/>
        <w:szCs w:val="24"/>
      </w:rPr>
      <w:t>/13</w: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105106926">
    <w:nsid w:val="7D7961EE"/>
    <w:multiLevelType w:val="multilevel"/>
    <w:tmpl w:val="7D7961EE"/>
    <w:lvl w:ilvl="0" w:tentative="1">
      <w:start w:val="1"/>
      <w:numFmt w:val="chineseCountingThousand"/>
      <w:suff w:val="space"/>
      <w:lvlText w:val="第%1条"/>
      <w:lvlJc w:val="left"/>
      <w:pPr>
        <w:ind w:left="1413" w:hanging="420"/>
      </w:pPr>
      <w:rPr>
        <w:rFonts w:hint="eastAsia" w:eastAsia="仿宋"/>
        <w:b/>
        <w:i w:val="0"/>
        <w:color w:val="auto"/>
        <w:sz w:val="32"/>
        <w:szCs w:val="28"/>
        <w:lang w:val="en-US"/>
      </w:rPr>
    </w:lvl>
    <w:lvl w:ilvl="1" w:tentative="1">
      <w:start w:val="1"/>
      <w:numFmt w:val="lowerLetter"/>
      <w:lvlText w:val="%2)"/>
      <w:lvlJc w:val="left"/>
      <w:pPr>
        <w:ind w:left="1691" w:hanging="420"/>
      </w:pPr>
      <w:rPr>
        <w:rFonts w:hint="eastAsia"/>
      </w:rPr>
    </w:lvl>
    <w:lvl w:ilvl="2" w:tentative="1">
      <w:start w:val="1"/>
      <w:numFmt w:val="lowerRoman"/>
      <w:lvlText w:val="%3."/>
      <w:lvlJc w:val="right"/>
      <w:pPr>
        <w:ind w:left="2111" w:hanging="420"/>
      </w:pPr>
      <w:rPr>
        <w:rFonts w:hint="eastAsia"/>
      </w:rPr>
    </w:lvl>
    <w:lvl w:ilvl="3" w:tentative="1">
      <w:start w:val="1"/>
      <w:numFmt w:val="decimal"/>
      <w:lvlText w:val="%4."/>
      <w:lvlJc w:val="left"/>
      <w:pPr>
        <w:ind w:left="2531" w:hanging="420"/>
      </w:pPr>
      <w:rPr>
        <w:rFonts w:hint="eastAsia"/>
      </w:rPr>
    </w:lvl>
    <w:lvl w:ilvl="4" w:tentative="1">
      <w:start w:val="1"/>
      <w:numFmt w:val="lowerLetter"/>
      <w:lvlText w:val="%5)"/>
      <w:lvlJc w:val="left"/>
      <w:pPr>
        <w:ind w:left="2951" w:hanging="420"/>
      </w:pPr>
      <w:rPr>
        <w:rFonts w:hint="eastAsia"/>
      </w:rPr>
    </w:lvl>
    <w:lvl w:ilvl="5" w:tentative="1">
      <w:start w:val="1"/>
      <w:numFmt w:val="lowerRoman"/>
      <w:lvlText w:val="%6."/>
      <w:lvlJc w:val="right"/>
      <w:pPr>
        <w:ind w:left="3371" w:hanging="420"/>
      </w:pPr>
      <w:rPr>
        <w:rFonts w:hint="eastAsia"/>
      </w:rPr>
    </w:lvl>
    <w:lvl w:ilvl="6" w:tentative="1">
      <w:start w:val="1"/>
      <w:numFmt w:val="decimal"/>
      <w:lvlText w:val="%7."/>
      <w:lvlJc w:val="left"/>
      <w:pPr>
        <w:ind w:left="3791" w:hanging="420"/>
      </w:pPr>
      <w:rPr>
        <w:rFonts w:hint="eastAsia"/>
      </w:rPr>
    </w:lvl>
    <w:lvl w:ilvl="7" w:tentative="1">
      <w:start w:val="1"/>
      <w:numFmt w:val="lowerLetter"/>
      <w:lvlText w:val="%8)"/>
      <w:lvlJc w:val="left"/>
      <w:pPr>
        <w:ind w:left="4211" w:hanging="420"/>
      </w:pPr>
      <w:rPr>
        <w:rFonts w:hint="eastAsia"/>
      </w:rPr>
    </w:lvl>
    <w:lvl w:ilvl="8" w:tentative="1">
      <w:start w:val="1"/>
      <w:numFmt w:val="lowerRoman"/>
      <w:lvlText w:val="%9."/>
      <w:lvlJc w:val="right"/>
      <w:pPr>
        <w:ind w:left="4631" w:hanging="420"/>
      </w:pPr>
      <w:rPr>
        <w:rFonts w:hint="eastAsia"/>
      </w:rPr>
    </w:lvl>
  </w:abstractNum>
  <w:num w:numId="1">
    <w:abstractNumId w:val="21051069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12FCD"/>
    <w:rsid w:val="0000201C"/>
    <w:rsid w:val="000020CE"/>
    <w:rsid w:val="00003145"/>
    <w:rsid w:val="000053E4"/>
    <w:rsid w:val="0000584E"/>
    <w:rsid w:val="00006FB5"/>
    <w:rsid w:val="0001085E"/>
    <w:rsid w:val="0001120E"/>
    <w:rsid w:val="00012FCD"/>
    <w:rsid w:val="00015CA9"/>
    <w:rsid w:val="0001647D"/>
    <w:rsid w:val="00020227"/>
    <w:rsid w:val="0002637A"/>
    <w:rsid w:val="0002690A"/>
    <w:rsid w:val="00032F39"/>
    <w:rsid w:val="0004219F"/>
    <w:rsid w:val="00044C33"/>
    <w:rsid w:val="0005014D"/>
    <w:rsid w:val="0006277E"/>
    <w:rsid w:val="000639F6"/>
    <w:rsid w:val="00066BA8"/>
    <w:rsid w:val="0006756C"/>
    <w:rsid w:val="00071C8F"/>
    <w:rsid w:val="00074ABB"/>
    <w:rsid w:val="00085A0F"/>
    <w:rsid w:val="000918F7"/>
    <w:rsid w:val="00095C33"/>
    <w:rsid w:val="000A1A81"/>
    <w:rsid w:val="000B1D3C"/>
    <w:rsid w:val="000B7085"/>
    <w:rsid w:val="000D0E0A"/>
    <w:rsid w:val="000D3146"/>
    <w:rsid w:val="000D68EB"/>
    <w:rsid w:val="000E063C"/>
    <w:rsid w:val="000E2113"/>
    <w:rsid w:val="00105E07"/>
    <w:rsid w:val="001078FF"/>
    <w:rsid w:val="00111836"/>
    <w:rsid w:val="001149E5"/>
    <w:rsid w:val="00123EE6"/>
    <w:rsid w:val="00125045"/>
    <w:rsid w:val="00126A7E"/>
    <w:rsid w:val="00126DCE"/>
    <w:rsid w:val="001274B1"/>
    <w:rsid w:val="00127CD6"/>
    <w:rsid w:val="0013104C"/>
    <w:rsid w:val="00133460"/>
    <w:rsid w:val="0014224D"/>
    <w:rsid w:val="00150DB9"/>
    <w:rsid w:val="001517C5"/>
    <w:rsid w:val="001533E3"/>
    <w:rsid w:val="00163CB1"/>
    <w:rsid w:val="0018226F"/>
    <w:rsid w:val="0018334E"/>
    <w:rsid w:val="00185CA0"/>
    <w:rsid w:val="00187109"/>
    <w:rsid w:val="00187DA1"/>
    <w:rsid w:val="001937BC"/>
    <w:rsid w:val="00197F30"/>
    <w:rsid w:val="001A7432"/>
    <w:rsid w:val="001C0422"/>
    <w:rsid w:val="001C1F20"/>
    <w:rsid w:val="001C41B7"/>
    <w:rsid w:val="001C4B11"/>
    <w:rsid w:val="001C6C8D"/>
    <w:rsid w:val="001C719E"/>
    <w:rsid w:val="001D1602"/>
    <w:rsid w:val="001D228E"/>
    <w:rsid w:val="001D5BD9"/>
    <w:rsid w:val="001D65FD"/>
    <w:rsid w:val="001D68C4"/>
    <w:rsid w:val="001E249B"/>
    <w:rsid w:val="001E4D7C"/>
    <w:rsid w:val="001F0D2D"/>
    <w:rsid w:val="001F15C0"/>
    <w:rsid w:val="001F1EF6"/>
    <w:rsid w:val="001F5849"/>
    <w:rsid w:val="001F74B7"/>
    <w:rsid w:val="00202541"/>
    <w:rsid w:val="00214678"/>
    <w:rsid w:val="00225996"/>
    <w:rsid w:val="00226C03"/>
    <w:rsid w:val="0023163E"/>
    <w:rsid w:val="00234AAC"/>
    <w:rsid w:val="00235788"/>
    <w:rsid w:val="0023772B"/>
    <w:rsid w:val="00241B27"/>
    <w:rsid w:val="00245824"/>
    <w:rsid w:val="00260046"/>
    <w:rsid w:val="00262ABE"/>
    <w:rsid w:val="002652F2"/>
    <w:rsid w:val="00265E37"/>
    <w:rsid w:val="00271176"/>
    <w:rsid w:val="00273BE4"/>
    <w:rsid w:val="00274F67"/>
    <w:rsid w:val="002760A9"/>
    <w:rsid w:val="002845F2"/>
    <w:rsid w:val="00295190"/>
    <w:rsid w:val="00295415"/>
    <w:rsid w:val="002959D8"/>
    <w:rsid w:val="00295C4E"/>
    <w:rsid w:val="00295C8E"/>
    <w:rsid w:val="002A14F9"/>
    <w:rsid w:val="002B1468"/>
    <w:rsid w:val="002B70D7"/>
    <w:rsid w:val="002C0980"/>
    <w:rsid w:val="002C5850"/>
    <w:rsid w:val="002D15E5"/>
    <w:rsid w:val="002E1B82"/>
    <w:rsid w:val="002E5495"/>
    <w:rsid w:val="002F67B7"/>
    <w:rsid w:val="002F7D33"/>
    <w:rsid w:val="00301ADB"/>
    <w:rsid w:val="003047A6"/>
    <w:rsid w:val="003076CA"/>
    <w:rsid w:val="00310642"/>
    <w:rsid w:val="00317DE6"/>
    <w:rsid w:val="003209A8"/>
    <w:rsid w:val="003228FF"/>
    <w:rsid w:val="00327858"/>
    <w:rsid w:val="0033051F"/>
    <w:rsid w:val="003408F8"/>
    <w:rsid w:val="00342F38"/>
    <w:rsid w:val="003460B9"/>
    <w:rsid w:val="00347611"/>
    <w:rsid w:val="00347BF6"/>
    <w:rsid w:val="00355BE4"/>
    <w:rsid w:val="003562F2"/>
    <w:rsid w:val="0035757C"/>
    <w:rsid w:val="00360C05"/>
    <w:rsid w:val="00363B70"/>
    <w:rsid w:val="003663BA"/>
    <w:rsid w:val="003708FA"/>
    <w:rsid w:val="003839F6"/>
    <w:rsid w:val="00385E74"/>
    <w:rsid w:val="00386D47"/>
    <w:rsid w:val="003A4F34"/>
    <w:rsid w:val="003B5F4C"/>
    <w:rsid w:val="003C10CB"/>
    <w:rsid w:val="003C26B6"/>
    <w:rsid w:val="003C49D4"/>
    <w:rsid w:val="003D2A86"/>
    <w:rsid w:val="003D3F21"/>
    <w:rsid w:val="003E2EC0"/>
    <w:rsid w:val="003E5353"/>
    <w:rsid w:val="003E66E9"/>
    <w:rsid w:val="003E70BB"/>
    <w:rsid w:val="003F1E9A"/>
    <w:rsid w:val="003F6A4B"/>
    <w:rsid w:val="00401114"/>
    <w:rsid w:val="00416352"/>
    <w:rsid w:val="00417F51"/>
    <w:rsid w:val="00425E64"/>
    <w:rsid w:val="00426514"/>
    <w:rsid w:val="0043355F"/>
    <w:rsid w:val="00450F38"/>
    <w:rsid w:val="00462299"/>
    <w:rsid w:val="00472BF1"/>
    <w:rsid w:val="00480460"/>
    <w:rsid w:val="00480F6D"/>
    <w:rsid w:val="00483E7F"/>
    <w:rsid w:val="0049566B"/>
    <w:rsid w:val="004A6915"/>
    <w:rsid w:val="004B60BE"/>
    <w:rsid w:val="004C33EF"/>
    <w:rsid w:val="004C489F"/>
    <w:rsid w:val="004C632B"/>
    <w:rsid w:val="004D2555"/>
    <w:rsid w:val="004D7530"/>
    <w:rsid w:val="004E6FCE"/>
    <w:rsid w:val="004E7E1B"/>
    <w:rsid w:val="004F2BDE"/>
    <w:rsid w:val="004F7247"/>
    <w:rsid w:val="00502490"/>
    <w:rsid w:val="00502643"/>
    <w:rsid w:val="00502E18"/>
    <w:rsid w:val="0050676A"/>
    <w:rsid w:val="00511815"/>
    <w:rsid w:val="005127F5"/>
    <w:rsid w:val="0051472D"/>
    <w:rsid w:val="00517FDA"/>
    <w:rsid w:val="00522953"/>
    <w:rsid w:val="00526732"/>
    <w:rsid w:val="0053765E"/>
    <w:rsid w:val="00541D5D"/>
    <w:rsid w:val="00541F5F"/>
    <w:rsid w:val="005439F6"/>
    <w:rsid w:val="00547CD3"/>
    <w:rsid w:val="0055031F"/>
    <w:rsid w:val="00553625"/>
    <w:rsid w:val="00557A88"/>
    <w:rsid w:val="00562251"/>
    <w:rsid w:val="00571661"/>
    <w:rsid w:val="00583E14"/>
    <w:rsid w:val="005925A9"/>
    <w:rsid w:val="00592BEF"/>
    <w:rsid w:val="00593E50"/>
    <w:rsid w:val="005965B1"/>
    <w:rsid w:val="00597D79"/>
    <w:rsid w:val="005A3CC9"/>
    <w:rsid w:val="005B1645"/>
    <w:rsid w:val="005B1D70"/>
    <w:rsid w:val="005B1E69"/>
    <w:rsid w:val="005B66E2"/>
    <w:rsid w:val="005C0268"/>
    <w:rsid w:val="005D0E20"/>
    <w:rsid w:val="005D5E97"/>
    <w:rsid w:val="005E2C97"/>
    <w:rsid w:val="005E2F6A"/>
    <w:rsid w:val="005F4EDD"/>
    <w:rsid w:val="00602DCB"/>
    <w:rsid w:val="00605082"/>
    <w:rsid w:val="00605299"/>
    <w:rsid w:val="0060654C"/>
    <w:rsid w:val="00620D1C"/>
    <w:rsid w:val="006236DE"/>
    <w:rsid w:val="00624D9C"/>
    <w:rsid w:val="006303CC"/>
    <w:rsid w:val="00630CA7"/>
    <w:rsid w:val="0064019B"/>
    <w:rsid w:val="0064581A"/>
    <w:rsid w:val="006469F2"/>
    <w:rsid w:val="006477F5"/>
    <w:rsid w:val="00654D02"/>
    <w:rsid w:val="00666CFD"/>
    <w:rsid w:val="00667D22"/>
    <w:rsid w:val="00670086"/>
    <w:rsid w:val="00674740"/>
    <w:rsid w:val="0068159E"/>
    <w:rsid w:val="00684C5E"/>
    <w:rsid w:val="00687723"/>
    <w:rsid w:val="00696267"/>
    <w:rsid w:val="006C09B6"/>
    <w:rsid w:val="006C1F0B"/>
    <w:rsid w:val="006C56EE"/>
    <w:rsid w:val="006C6686"/>
    <w:rsid w:val="006D2211"/>
    <w:rsid w:val="006D5608"/>
    <w:rsid w:val="006E1F57"/>
    <w:rsid w:val="006E2198"/>
    <w:rsid w:val="006E5470"/>
    <w:rsid w:val="006E66E2"/>
    <w:rsid w:val="006E6DCF"/>
    <w:rsid w:val="006F000C"/>
    <w:rsid w:val="006F13D0"/>
    <w:rsid w:val="006F2624"/>
    <w:rsid w:val="007040B8"/>
    <w:rsid w:val="00707547"/>
    <w:rsid w:val="00707B58"/>
    <w:rsid w:val="0071766F"/>
    <w:rsid w:val="00722F5E"/>
    <w:rsid w:val="007264B4"/>
    <w:rsid w:val="00727D37"/>
    <w:rsid w:val="00731781"/>
    <w:rsid w:val="007351B4"/>
    <w:rsid w:val="0074192D"/>
    <w:rsid w:val="007468FA"/>
    <w:rsid w:val="007511C0"/>
    <w:rsid w:val="00751201"/>
    <w:rsid w:val="007541E4"/>
    <w:rsid w:val="00755C5E"/>
    <w:rsid w:val="00762059"/>
    <w:rsid w:val="0077371B"/>
    <w:rsid w:val="007743E0"/>
    <w:rsid w:val="00774C46"/>
    <w:rsid w:val="007761EB"/>
    <w:rsid w:val="00776C79"/>
    <w:rsid w:val="00784542"/>
    <w:rsid w:val="0079055F"/>
    <w:rsid w:val="00791FED"/>
    <w:rsid w:val="007935C5"/>
    <w:rsid w:val="007961CA"/>
    <w:rsid w:val="007965A2"/>
    <w:rsid w:val="007970DC"/>
    <w:rsid w:val="007A73EC"/>
    <w:rsid w:val="007A7C57"/>
    <w:rsid w:val="007D4ADF"/>
    <w:rsid w:val="007D72DA"/>
    <w:rsid w:val="007E520A"/>
    <w:rsid w:val="007F1E18"/>
    <w:rsid w:val="007F70D6"/>
    <w:rsid w:val="00804867"/>
    <w:rsid w:val="00804910"/>
    <w:rsid w:val="0080714D"/>
    <w:rsid w:val="008117E0"/>
    <w:rsid w:val="00815C41"/>
    <w:rsid w:val="00816618"/>
    <w:rsid w:val="00823D7F"/>
    <w:rsid w:val="008257C0"/>
    <w:rsid w:val="00836184"/>
    <w:rsid w:val="008363FB"/>
    <w:rsid w:val="00836B48"/>
    <w:rsid w:val="008375A7"/>
    <w:rsid w:val="00841790"/>
    <w:rsid w:val="00842AB5"/>
    <w:rsid w:val="008503AD"/>
    <w:rsid w:val="00852926"/>
    <w:rsid w:val="00853FA7"/>
    <w:rsid w:val="00861E5B"/>
    <w:rsid w:val="00862F93"/>
    <w:rsid w:val="00865E55"/>
    <w:rsid w:val="00866E5F"/>
    <w:rsid w:val="008700F1"/>
    <w:rsid w:val="00870382"/>
    <w:rsid w:val="00872FB9"/>
    <w:rsid w:val="0088069E"/>
    <w:rsid w:val="00880FEC"/>
    <w:rsid w:val="00892ADF"/>
    <w:rsid w:val="00893BFA"/>
    <w:rsid w:val="0089473B"/>
    <w:rsid w:val="008A08F6"/>
    <w:rsid w:val="008A4E1C"/>
    <w:rsid w:val="008B06A5"/>
    <w:rsid w:val="008B297D"/>
    <w:rsid w:val="008B3599"/>
    <w:rsid w:val="008B43CC"/>
    <w:rsid w:val="008B5E9C"/>
    <w:rsid w:val="008B76A2"/>
    <w:rsid w:val="008C14E1"/>
    <w:rsid w:val="008C2E3E"/>
    <w:rsid w:val="008C2EF6"/>
    <w:rsid w:val="008D0FDE"/>
    <w:rsid w:val="008D41DC"/>
    <w:rsid w:val="008D72B2"/>
    <w:rsid w:val="008E0508"/>
    <w:rsid w:val="008E2D08"/>
    <w:rsid w:val="008F2447"/>
    <w:rsid w:val="008F417F"/>
    <w:rsid w:val="008F648D"/>
    <w:rsid w:val="00900AAB"/>
    <w:rsid w:val="00900D85"/>
    <w:rsid w:val="00901961"/>
    <w:rsid w:val="009027AB"/>
    <w:rsid w:val="00903D27"/>
    <w:rsid w:val="009050BC"/>
    <w:rsid w:val="00907720"/>
    <w:rsid w:val="00911124"/>
    <w:rsid w:val="00921709"/>
    <w:rsid w:val="00931766"/>
    <w:rsid w:val="009355BA"/>
    <w:rsid w:val="009359CA"/>
    <w:rsid w:val="00936346"/>
    <w:rsid w:val="0093743A"/>
    <w:rsid w:val="00937BFB"/>
    <w:rsid w:val="00940245"/>
    <w:rsid w:val="00940CD6"/>
    <w:rsid w:val="00942F45"/>
    <w:rsid w:val="00945043"/>
    <w:rsid w:val="00957E4C"/>
    <w:rsid w:val="00960256"/>
    <w:rsid w:val="009624F3"/>
    <w:rsid w:val="009744C7"/>
    <w:rsid w:val="009779D2"/>
    <w:rsid w:val="009828D4"/>
    <w:rsid w:val="00983A61"/>
    <w:rsid w:val="00987E1D"/>
    <w:rsid w:val="00993453"/>
    <w:rsid w:val="00996568"/>
    <w:rsid w:val="009A4A1F"/>
    <w:rsid w:val="009A4AB5"/>
    <w:rsid w:val="009B1323"/>
    <w:rsid w:val="009C049D"/>
    <w:rsid w:val="009C106F"/>
    <w:rsid w:val="009C1122"/>
    <w:rsid w:val="009C367E"/>
    <w:rsid w:val="009C3A56"/>
    <w:rsid w:val="009C3BD4"/>
    <w:rsid w:val="009D4B7F"/>
    <w:rsid w:val="009F10DF"/>
    <w:rsid w:val="009F6FA5"/>
    <w:rsid w:val="00A0014F"/>
    <w:rsid w:val="00A01A4A"/>
    <w:rsid w:val="00A02B80"/>
    <w:rsid w:val="00A0665D"/>
    <w:rsid w:val="00A07071"/>
    <w:rsid w:val="00A109FC"/>
    <w:rsid w:val="00A221C0"/>
    <w:rsid w:val="00A24351"/>
    <w:rsid w:val="00A267AA"/>
    <w:rsid w:val="00A35192"/>
    <w:rsid w:val="00A36DF2"/>
    <w:rsid w:val="00A521D1"/>
    <w:rsid w:val="00A56CD8"/>
    <w:rsid w:val="00A60701"/>
    <w:rsid w:val="00A65858"/>
    <w:rsid w:val="00A6700F"/>
    <w:rsid w:val="00A708FF"/>
    <w:rsid w:val="00A72F85"/>
    <w:rsid w:val="00A74D62"/>
    <w:rsid w:val="00A8371B"/>
    <w:rsid w:val="00A83F0D"/>
    <w:rsid w:val="00A86B87"/>
    <w:rsid w:val="00A96AA9"/>
    <w:rsid w:val="00A9710D"/>
    <w:rsid w:val="00AA04E7"/>
    <w:rsid w:val="00AA7C9B"/>
    <w:rsid w:val="00AB0F56"/>
    <w:rsid w:val="00AC253B"/>
    <w:rsid w:val="00AD44F9"/>
    <w:rsid w:val="00AD79C4"/>
    <w:rsid w:val="00AE1BF1"/>
    <w:rsid w:val="00AE1FF6"/>
    <w:rsid w:val="00AF14D8"/>
    <w:rsid w:val="00AF7455"/>
    <w:rsid w:val="00B00B5E"/>
    <w:rsid w:val="00B015AF"/>
    <w:rsid w:val="00B120BC"/>
    <w:rsid w:val="00B12CC5"/>
    <w:rsid w:val="00B154A4"/>
    <w:rsid w:val="00B2413B"/>
    <w:rsid w:val="00B3123D"/>
    <w:rsid w:val="00B3293F"/>
    <w:rsid w:val="00B37357"/>
    <w:rsid w:val="00B4385A"/>
    <w:rsid w:val="00B44F19"/>
    <w:rsid w:val="00B45D2A"/>
    <w:rsid w:val="00B466A0"/>
    <w:rsid w:val="00B540E4"/>
    <w:rsid w:val="00B57BE7"/>
    <w:rsid w:val="00B63401"/>
    <w:rsid w:val="00B737CB"/>
    <w:rsid w:val="00B74D1E"/>
    <w:rsid w:val="00B82961"/>
    <w:rsid w:val="00B82A8E"/>
    <w:rsid w:val="00B83759"/>
    <w:rsid w:val="00B8435B"/>
    <w:rsid w:val="00B95B73"/>
    <w:rsid w:val="00B95BAD"/>
    <w:rsid w:val="00B971F7"/>
    <w:rsid w:val="00B97E4D"/>
    <w:rsid w:val="00BA411A"/>
    <w:rsid w:val="00BA71F0"/>
    <w:rsid w:val="00BB079D"/>
    <w:rsid w:val="00BB5D05"/>
    <w:rsid w:val="00BB6485"/>
    <w:rsid w:val="00BC51A6"/>
    <w:rsid w:val="00BC5367"/>
    <w:rsid w:val="00BC5A2A"/>
    <w:rsid w:val="00BC71CB"/>
    <w:rsid w:val="00BD3BC3"/>
    <w:rsid w:val="00BD54C9"/>
    <w:rsid w:val="00BE705D"/>
    <w:rsid w:val="00BF14A9"/>
    <w:rsid w:val="00BF1C1F"/>
    <w:rsid w:val="00BF270D"/>
    <w:rsid w:val="00BF330B"/>
    <w:rsid w:val="00C044B8"/>
    <w:rsid w:val="00C06E12"/>
    <w:rsid w:val="00C10B68"/>
    <w:rsid w:val="00C128F0"/>
    <w:rsid w:val="00C305F2"/>
    <w:rsid w:val="00C3606E"/>
    <w:rsid w:val="00C363DB"/>
    <w:rsid w:val="00C422F5"/>
    <w:rsid w:val="00C438D0"/>
    <w:rsid w:val="00C45B2F"/>
    <w:rsid w:val="00C473EC"/>
    <w:rsid w:val="00C5769F"/>
    <w:rsid w:val="00C6294A"/>
    <w:rsid w:val="00C749B2"/>
    <w:rsid w:val="00C75E81"/>
    <w:rsid w:val="00C80308"/>
    <w:rsid w:val="00C80C19"/>
    <w:rsid w:val="00C822F0"/>
    <w:rsid w:val="00C84097"/>
    <w:rsid w:val="00C850F6"/>
    <w:rsid w:val="00C86CE2"/>
    <w:rsid w:val="00C87403"/>
    <w:rsid w:val="00CA3BDB"/>
    <w:rsid w:val="00CA5F05"/>
    <w:rsid w:val="00CA7F89"/>
    <w:rsid w:val="00CB73A7"/>
    <w:rsid w:val="00CC1319"/>
    <w:rsid w:val="00CC1411"/>
    <w:rsid w:val="00CC2159"/>
    <w:rsid w:val="00CC2EDE"/>
    <w:rsid w:val="00CC53E8"/>
    <w:rsid w:val="00CC5E54"/>
    <w:rsid w:val="00CD55E2"/>
    <w:rsid w:val="00CE0533"/>
    <w:rsid w:val="00CE5E08"/>
    <w:rsid w:val="00CF0C87"/>
    <w:rsid w:val="00CF141B"/>
    <w:rsid w:val="00CF28E0"/>
    <w:rsid w:val="00CF4B6C"/>
    <w:rsid w:val="00CF4F28"/>
    <w:rsid w:val="00D051FB"/>
    <w:rsid w:val="00D06977"/>
    <w:rsid w:val="00D07477"/>
    <w:rsid w:val="00D076EF"/>
    <w:rsid w:val="00D1001F"/>
    <w:rsid w:val="00D10C7B"/>
    <w:rsid w:val="00D10FF2"/>
    <w:rsid w:val="00D12E08"/>
    <w:rsid w:val="00D138B7"/>
    <w:rsid w:val="00D16579"/>
    <w:rsid w:val="00D17BA4"/>
    <w:rsid w:val="00D25ECD"/>
    <w:rsid w:val="00D37F48"/>
    <w:rsid w:val="00D4212F"/>
    <w:rsid w:val="00D42719"/>
    <w:rsid w:val="00D42AA5"/>
    <w:rsid w:val="00D44630"/>
    <w:rsid w:val="00D51921"/>
    <w:rsid w:val="00D52583"/>
    <w:rsid w:val="00D53B33"/>
    <w:rsid w:val="00D55BE3"/>
    <w:rsid w:val="00D5680F"/>
    <w:rsid w:val="00D63600"/>
    <w:rsid w:val="00D6686B"/>
    <w:rsid w:val="00D715E1"/>
    <w:rsid w:val="00D738EE"/>
    <w:rsid w:val="00D73E0D"/>
    <w:rsid w:val="00D86C7D"/>
    <w:rsid w:val="00D93EE8"/>
    <w:rsid w:val="00D965D0"/>
    <w:rsid w:val="00DA32BB"/>
    <w:rsid w:val="00DA6571"/>
    <w:rsid w:val="00DA71AD"/>
    <w:rsid w:val="00DB390C"/>
    <w:rsid w:val="00DB608B"/>
    <w:rsid w:val="00DC3995"/>
    <w:rsid w:val="00DD20AE"/>
    <w:rsid w:val="00DD684F"/>
    <w:rsid w:val="00DE5EB4"/>
    <w:rsid w:val="00DE61AF"/>
    <w:rsid w:val="00DE62E2"/>
    <w:rsid w:val="00DE763B"/>
    <w:rsid w:val="00DF00E1"/>
    <w:rsid w:val="00DF4493"/>
    <w:rsid w:val="00E000DA"/>
    <w:rsid w:val="00E02C8A"/>
    <w:rsid w:val="00E059B8"/>
    <w:rsid w:val="00E15F47"/>
    <w:rsid w:val="00E20B3E"/>
    <w:rsid w:val="00E24761"/>
    <w:rsid w:val="00E24D50"/>
    <w:rsid w:val="00E27368"/>
    <w:rsid w:val="00E306D3"/>
    <w:rsid w:val="00E36ADE"/>
    <w:rsid w:val="00E4132B"/>
    <w:rsid w:val="00E455F2"/>
    <w:rsid w:val="00E469DC"/>
    <w:rsid w:val="00E66822"/>
    <w:rsid w:val="00E70C6B"/>
    <w:rsid w:val="00E73378"/>
    <w:rsid w:val="00E73F36"/>
    <w:rsid w:val="00E772D1"/>
    <w:rsid w:val="00E82FF4"/>
    <w:rsid w:val="00E8350E"/>
    <w:rsid w:val="00E87107"/>
    <w:rsid w:val="00E87A88"/>
    <w:rsid w:val="00E902E5"/>
    <w:rsid w:val="00E92EB7"/>
    <w:rsid w:val="00E934B7"/>
    <w:rsid w:val="00EA06C9"/>
    <w:rsid w:val="00EA1546"/>
    <w:rsid w:val="00EB3023"/>
    <w:rsid w:val="00EB474E"/>
    <w:rsid w:val="00EC391A"/>
    <w:rsid w:val="00EC401F"/>
    <w:rsid w:val="00EC4327"/>
    <w:rsid w:val="00EC4ABC"/>
    <w:rsid w:val="00EC4EFD"/>
    <w:rsid w:val="00EC5547"/>
    <w:rsid w:val="00ED3177"/>
    <w:rsid w:val="00ED4E2C"/>
    <w:rsid w:val="00ED734C"/>
    <w:rsid w:val="00EE07C8"/>
    <w:rsid w:val="00EE585D"/>
    <w:rsid w:val="00EE6022"/>
    <w:rsid w:val="00EF3F8A"/>
    <w:rsid w:val="00EF46D3"/>
    <w:rsid w:val="00F010DB"/>
    <w:rsid w:val="00F01687"/>
    <w:rsid w:val="00F0496D"/>
    <w:rsid w:val="00F10417"/>
    <w:rsid w:val="00F12902"/>
    <w:rsid w:val="00F1306C"/>
    <w:rsid w:val="00F201DB"/>
    <w:rsid w:val="00F202FB"/>
    <w:rsid w:val="00F22A8A"/>
    <w:rsid w:val="00F22FBC"/>
    <w:rsid w:val="00F303A3"/>
    <w:rsid w:val="00F315BD"/>
    <w:rsid w:val="00F41106"/>
    <w:rsid w:val="00F41286"/>
    <w:rsid w:val="00F42925"/>
    <w:rsid w:val="00F45B9A"/>
    <w:rsid w:val="00F51386"/>
    <w:rsid w:val="00F536B5"/>
    <w:rsid w:val="00F55982"/>
    <w:rsid w:val="00F67307"/>
    <w:rsid w:val="00F7089A"/>
    <w:rsid w:val="00F70DA3"/>
    <w:rsid w:val="00F7287C"/>
    <w:rsid w:val="00F7541E"/>
    <w:rsid w:val="00F81255"/>
    <w:rsid w:val="00F85516"/>
    <w:rsid w:val="00F952A6"/>
    <w:rsid w:val="00F95E64"/>
    <w:rsid w:val="00FA3085"/>
    <w:rsid w:val="00FA7443"/>
    <w:rsid w:val="00FB6BC7"/>
    <w:rsid w:val="00FB7C31"/>
    <w:rsid w:val="00FC3CB6"/>
    <w:rsid w:val="00FC485D"/>
    <w:rsid w:val="00FC4F88"/>
    <w:rsid w:val="00FC5B43"/>
    <w:rsid w:val="00FD0EC5"/>
    <w:rsid w:val="00FD2547"/>
    <w:rsid w:val="00FD691A"/>
    <w:rsid w:val="00FE1D0B"/>
    <w:rsid w:val="00FE2ACA"/>
    <w:rsid w:val="00FE5B20"/>
    <w:rsid w:val="00FF1037"/>
    <w:rsid w:val="00FF555D"/>
    <w:rsid w:val="00FF6001"/>
    <w:rsid w:val="00FF7204"/>
    <w:rsid w:val="014178C0"/>
    <w:rsid w:val="0CEA105E"/>
    <w:rsid w:val="0DF04F6A"/>
    <w:rsid w:val="12573828"/>
    <w:rsid w:val="18636ED4"/>
    <w:rsid w:val="26754E25"/>
    <w:rsid w:val="2BF46AAA"/>
    <w:rsid w:val="2FC546D2"/>
    <w:rsid w:val="39CE189F"/>
    <w:rsid w:val="4C415057"/>
    <w:rsid w:val="5EE0346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3"/>
    <w:qFormat/>
    <w:uiPriority w:val="0"/>
    <w:pPr>
      <w:keepNext/>
      <w:keepLines/>
      <w:spacing w:beforeLines="50" w:afterLines="50" w:line="360" w:lineRule="auto"/>
      <w:outlineLvl w:val="1"/>
    </w:pPr>
    <w:rPr>
      <w:rFonts w:ascii="Cambria" w:hAnsi="Cambria" w:eastAsia="黑体"/>
      <w:bCs/>
      <w:sz w:val="32"/>
      <w:szCs w:val="32"/>
    </w:rPr>
  </w:style>
  <w:style w:type="paragraph" w:styleId="3">
    <w:name w:val="heading 4"/>
    <w:basedOn w:val="1"/>
    <w:next w:val="1"/>
    <w:link w:val="19"/>
    <w:qFormat/>
    <w:uiPriority w:val="0"/>
    <w:pPr>
      <w:keepNext/>
      <w:keepLines/>
      <w:spacing w:before="280" w:after="290" w:line="376" w:lineRule="auto"/>
      <w:outlineLvl w:val="3"/>
    </w:pPr>
    <w:rPr>
      <w:rFonts w:ascii="Arial" w:hAnsi="Arial" w:eastAsia="黑体"/>
      <w:b/>
      <w:bCs/>
      <w:sz w:val="28"/>
      <w:szCs w:val="28"/>
    </w:rPr>
  </w:style>
  <w:style w:type="character" w:default="1" w:styleId="10">
    <w:name w:val="Default Paragraph Font"/>
    <w:unhideWhenUsed/>
    <w:uiPriority w:val="1"/>
  </w:style>
  <w:style w:type="table" w:default="1" w:styleId="13">
    <w:name w:val="Normal Table"/>
    <w:unhideWhenUsed/>
    <w:uiPriority w:val="99"/>
    <w:tblPr>
      <w:tblStyle w:val="13"/>
      <w:tblLayout w:type="fixed"/>
      <w:tblCellMar>
        <w:top w:w="0" w:type="dxa"/>
        <w:left w:w="108" w:type="dxa"/>
        <w:bottom w:w="0" w:type="dxa"/>
        <w:right w:w="108" w:type="dxa"/>
      </w:tblCellMar>
    </w:tblPr>
    <w:tcPr>
      <w:textDirection w:val="lrTb"/>
    </w:tcPr>
  </w:style>
  <w:style w:type="paragraph" w:styleId="4">
    <w:name w:val="annotation subject"/>
    <w:basedOn w:val="5"/>
    <w:next w:val="5"/>
    <w:link w:val="26"/>
    <w:unhideWhenUsed/>
    <w:qFormat/>
    <w:uiPriority w:val="99"/>
    <w:rPr>
      <w:b/>
      <w:bCs/>
    </w:rPr>
  </w:style>
  <w:style w:type="paragraph" w:styleId="5">
    <w:name w:val="annotation text"/>
    <w:basedOn w:val="1"/>
    <w:link w:val="25"/>
    <w:unhideWhenUsed/>
    <w:qFormat/>
    <w:uiPriority w:val="99"/>
    <w:pPr>
      <w:jc w:val="left"/>
    </w:pPr>
  </w:style>
  <w:style w:type="paragraph" w:styleId="6">
    <w:name w:val="Body Text Indent"/>
    <w:basedOn w:val="1"/>
    <w:link w:val="22"/>
    <w:qFormat/>
    <w:uiPriority w:val="0"/>
    <w:pPr>
      <w:spacing w:line="360" w:lineRule="auto"/>
      <w:ind w:firstLine="480" w:firstLineChars="200"/>
    </w:pPr>
    <w:rPr>
      <w:sz w:val="24"/>
    </w:rPr>
  </w:style>
  <w:style w:type="paragraph" w:styleId="7">
    <w:name w:val="Balloon Text"/>
    <w:basedOn w:val="1"/>
    <w:link w:val="24"/>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character" w:styleId="11">
    <w:name w:val="Hyperlink"/>
    <w:basedOn w:val="10"/>
    <w:unhideWhenUsed/>
    <w:uiPriority w:val="99"/>
    <w:rPr>
      <w:color w:val="0000FF"/>
      <w:u w:val="single"/>
    </w:rPr>
  </w:style>
  <w:style w:type="character" w:styleId="12">
    <w:name w:val="annotation reference"/>
    <w:unhideWhenUsed/>
    <w:qFormat/>
    <w:uiPriority w:val="99"/>
    <w:rPr>
      <w:sz w:val="21"/>
      <w:szCs w:val="21"/>
    </w:rPr>
  </w:style>
  <w:style w:type="paragraph" w:customStyle="1" w:styleId="14">
    <w:name w:val="小四1.5 倍行距"/>
    <w:basedOn w:val="1"/>
    <w:qFormat/>
    <w:uiPriority w:val="0"/>
    <w:pPr>
      <w:spacing w:line="360" w:lineRule="auto"/>
      <w:ind w:firstLine="480" w:firstLineChars="200"/>
    </w:pPr>
    <w:rPr>
      <w:rFonts w:cs="宋体"/>
      <w:sz w:val="24"/>
      <w:szCs w:val="20"/>
    </w:rPr>
  </w:style>
  <w:style w:type="paragraph" w:customStyle="1" w:styleId="15">
    <w:name w:val="列出段落1"/>
    <w:basedOn w:val="1"/>
    <w:qFormat/>
    <w:uiPriority w:val="0"/>
    <w:pPr>
      <w:ind w:firstLine="420" w:firstLineChars="200"/>
    </w:pPr>
    <w:rPr>
      <w:rFonts w:ascii="Calibri" w:hAnsi="Calibri"/>
      <w:szCs w:val="22"/>
    </w:rPr>
  </w:style>
  <w:style w:type="paragraph" w:customStyle="1" w:styleId="16">
    <w:name w:val="列出段落11"/>
    <w:basedOn w:val="1"/>
    <w:qFormat/>
    <w:uiPriority w:val="0"/>
    <w:pPr>
      <w:ind w:firstLine="420" w:firstLineChars="200"/>
    </w:pPr>
    <w:rPr>
      <w:rFonts w:ascii="等线" w:hAnsi="等线" w:eastAsia="等线"/>
      <w:szCs w:val="22"/>
    </w:rPr>
  </w:style>
  <w:style w:type="paragraph" w:customStyle="1" w:styleId="1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8">
    <w:name w:val="列出段落2"/>
    <w:basedOn w:val="1"/>
    <w:uiPriority w:val="99"/>
    <w:pPr>
      <w:ind w:firstLine="420" w:firstLineChars="200"/>
    </w:pPr>
  </w:style>
  <w:style w:type="character" w:customStyle="1" w:styleId="19">
    <w:name w:val="标题 4 Char"/>
    <w:link w:val="3"/>
    <w:qFormat/>
    <w:uiPriority w:val="0"/>
    <w:rPr>
      <w:rFonts w:ascii="Arial" w:hAnsi="Arial" w:eastAsia="黑体" w:cs="Times New Roman"/>
      <w:b/>
      <w:bCs/>
      <w:sz w:val="28"/>
      <w:szCs w:val="28"/>
    </w:rPr>
  </w:style>
  <w:style w:type="character" w:customStyle="1" w:styleId="20">
    <w:name w:val="页眉 Char"/>
    <w:link w:val="9"/>
    <w:qFormat/>
    <w:uiPriority w:val="99"/>
    <w:rPr>
      <w:rFonts w:ascii="Times New Roman" w:hAnsi="Times New Roman" w:eastAsia="宋体" w:cs="Times New Roman"/>
      <w:sz w:val="18"/>
      <w:szCs w:val="18"/>
    </w:rPr>
  </w:style>
  <w:style w:type="character" w:customStyle="1" w:styleId="21">
    <w:name w:val="页脚 Char"/>
    <w:link w:val="8"/>
    <w:qFormat/>
    <w:uiPriority w:val="99"/>
    <w:rPr>
      <w:rFonts w:ascii="Times New Roman" w:hAnsi="Times New Roman" w:eastAsia="宋体" w:cs="Times New Roman"/>
      <w:sz w:val="18"/>
      <w:szCs w:val="18"/>
    </w:rPr>
  </w:style>
  <w:style w:type="character" w:customStyle="1" w:styleId="22">
    <w:name w:val="正文文本缩进 Char"/>
    <w:link w:val="6"/>
    <w:qFormat/>
    <w:uiPriority w:val="0"/>
    <w:rPr>
      <w:rFonts w:ascii="Times New Roman" w:hAnsi="Times New Roman" w:eastAsia="宋体" w:cs="Times New Roman"/>
      <w:sz w:val="24"/>
      <w:szCs w:val="24"/>
    </w:rPr>
  </w:style>
  <w:style w:type="character" w:customStyle="1" w:styleId="23">
    <w:name w:val="标题 2 Char"/>
    <w:link w:val="2"/>
    <w:qFormat/>
    <w:uiPriority w:val="0"/>
    <w:rPr>
      <w:rFonts w:ascii="Cambria" w:hAnsi="Cambria" w:eastAsia="黑体" w:cs="Times New Roman"/>
      <w:bCs/>
      <w:sz w:val="32"/>
      <w:szCs w:val="32"/>
    </w:rPr>
  </w:style>
  <w:style w:type="character" w:customStyle="1" w:styleId="24">
    <w:name w:val="批注框文本 Char"/>
    <w:link w:val="7"/>
    <w:semiHidden/>
    <w:qFormat/>
    <w:uiPriority w:val="99"/>
    <w:rPr>
      <w:rFonts w:ascii="Times New Roman" w:hAnsi="Times New Roman" w:eastAsia="宋体" w:cs="Times New Roman"/>
      <w:sz w:val="18"/>
      <w:szCs w:val="18"/>
    </w:rPr>
  </w:style>
  <w:style w:type="character" w:customStyle="1" w:styleId="25">
    <w:name w:val="批注文字 Char"/>
    <w:link w:val="5"/>
    <w:semiHidden/>
    <w:qFormat/>
    <w:uiPriority w:val="99"/>
    <w:rPr>
      <w:rFonts w:ascii="Times New Roman" w:hAnsi="Times New Roman" w:eastAsia="宋体" w:cs="Times New Roman"/>
      <w:szCs w:val="24"/>
    </w:rPr>
  </w:style>
  <w:style w:type="character" w:customStyle="1" w:styleId="26">
    <w:name w:val="批注主题 Char"/>
    <w:link w:val="4"/>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15</Pages>
  <Words>913</Words>
  <Characters>5208</Characters>
  <Lines>43</Lines>
  <Paragraphs>12</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2019-01-21T11:03:00Z</dcterms:created>
  <dc:creator>赵帅</dc:creator>
  <cp:lastModifiedBy>NTKO</cp:lastModifiedBy>
  <cp:lastPrinted>2019-01-21T11:36:00Z</cp:lastPrinted>
  <dcterms:modified xsi:type="dcterms:W3CDTF">2019-01-22T03:15:54Z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