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ind w:firstLine="0" w:firstLineChars="0"/>
        <w:jc w:val="center"/>
        <w:rPr>
          <w:rFonts w:ascii="华文仿宋" w:hAnsi="华文仿宋" w:eastAsia="华文仿宋" w:cs="华文仿宋"/>
          <w:sz w:val="36"/>
          <w:szCs w:val="36"/>
        </w:rPr>
      </w:pPr>
      <w:bookmarkStart w:id="0" w:name="OLE_LINK7"/>
      <w:r>
        <w:rPr>
          <w:rFonts w:hint="eastAsia" w:ascii="华文仿宋" w:hAnsi="华文仿宋" w:eastAsia="华文仿宋" w:cs="华文仿宋"/>
          <w:sz w:val="36"/>
          <w:szCs w:val="36"/>
        </w:rPr>
        <w:t>陕西省眉县至太白公路PPP项目</w:t>
      </w:r>
      <w:bookmarkStart w:id="1" w:name="OLE_LINK19"/>
    </w:p>
    <w:p>
      <w:pPr>
        <w:spacing w:line="640" w:lineRule="exact"/>
        <w:ind w:firstLine="0" w:firstLineChars="0"/>
        <w:jc w:val="center"/>
        <w:rPr>
          <w:rFonts w:ascii="华文仿宋" w:hAnsi="华文仿宋" w:eastAsia="华文仿宋" w:cs="华文仿宋"/>
          <w:sz w:val="36"/>
          <w:szCs w:val="36"/>
        </w:rPr>
      </w:pPr>
      <w:r>
        <w:rPr>
          <w:rFonts w:hint="eastAsia" w:ascii="华文仿宋" w:hAnsi="华文仿宋" w:eastAsia="华文仿宋" w:cs="华文仿宋"/>
          <w:sz w:val="36"/>
          <w:szCs w:val="36"/>
        </w:rPr>
        <w:t>社会投资人</w:t>
      </w:r>
      <w:bookmarkEnd w:id="1"/>
      <w:r>
        <w:rPr>
          <w:rFonts w:hint="eastAsia" w:ascii="华文仿宋" w:hAnsi="华文仿宋" w:eastAsia="华文仿宋" w:cs="华文仿宋"/>
          <w:sz w:val="36"/>
          <w:szCs w:val="36"/>
        </w:rPr>
        <w:t>招标文件关键内容</w:t>
      </w:r>
    </w:p>
    <w:bookmarkEnd w:id="0"/>
    <w:p>
      <w:pPr>
        <w:spacing w:line="312" w:lineRule="auto"/>
        <w:ind w:firstLine="0" w:firstLineChars="0"/>
        <w:rPr>
          <w:rFonts w:cs="Times New Roman"/>
          <w:sz w:val="28"/>
          <w:szCs w:val="28"/>
        </w:rPr>
      </w:pPr>
      <w:bookmarkStart w:id="2" w:name="OLE_LINK15"/>
    </w:p>
    <w:bookmarkEnd w:id="2"/>
    <w:p>
      <w:pPr>
        <w:spacing w:line="312" w:lineRule="auto"/>
        <w:ind w:firstLine="560"/>
        <w:rPr>
          <w:rFonts w:eastAsia="黑体" w:cs="Times New Roman"/>
          <w:sz w:val="28"/>
          <w:szCs w:val="28"/>
        </w:rPr>
      </w:pPr>
      <w:r>
        <w:rPr>
          <w:rFonts w:hint="eastAsia" w:eastAsia="黑体" w:cs="Times New Roman"/>
          <w:sz w:val="28"/>
          <w:szCs w:val="28"/>
        </w:rPr>
        <w:t>一、项目概况</w:t>
      </w:r>
    </w:p>
    <w:p>
      <w:pPr>
        <w:spacing w:line="312" w:lineRule="auto"/>
        <w:ind w:firstLine="560"/>
        <w:rPr>
          <w:rFonts w:cs="Times New Roman"/>
          <w:sz w:val="28"/>
          <w:szCs w:val="28"/>
        </w:rPr>
      </w:pPr>
      <w:r>
        <w:rPr>
          <w:rFonts w:hint="eastAsia" w:cs="Times New Roman"/>
          <w:sz w:val="28"/>
          <w:szCs w:val="28"/>
        </w:rPr>
        <w:t>陕西省眉县至太白公路项目起于宝鸡市扶风县，终于在建凤太高速公路对接处，路线全长约74.61公里，根据陕西省发改委《关于眉县至太白高速公路项目核准的批复》（陕发改基础〔2018〕1231号），项目估算总投资约为123亿元，其中交通建设部分估算投资约为115亿元，旅游开发部分估算投资暂列8亿元，公路全线桥隧占路线比例56.96%，平均每公里工程造价16478.83万元。</w:t>
      </w:r>
    </w:p>
    <w:p>
      <w:pPr>
        <w:spacing w:line="312" w:lineRule="auto"/>
        <w:ind w:firstLine="560"/>
        <w:rPr>
          <w:rFonts w:eastAsia="黑体" w:cs="Times New Roman"/>
          <w:sz w:val="28"/>
          <w:szCs w:val="28"/>
        </w:rPr>
      </w:pPr>
      <w:r>
        <w:rPr>
          <w:rFonts w:hint="eastAsia" w:eastAsia="黑体" w:cs="Times New Roman"/>
          <w:sz w:val="28"/>
          <w:szCs w:val="28"/>
        </w:rPr>
        <w:t>二、</w:t>
      </w:r>
      <w:r>
        <w:rPr>
          <w:rFonts w:eastAsia="黑体" w:cs="Times New Roman"/>
          <w:sz w:val="28"/>
          <w:szCs w:val="28"/>
        </w:rPr>
        <w:t>评标</w:t>
      </w:r>
      <w:r>
        <w:rPr>
          <w:rFonts w:hint="eastAsia" w:eastAsia="黑体" w:cs="Times New Roman"/>
          <w:sz w:val="28"/>
          <w:szCs w:val="28"/>
        </w:rPr>
        <w:t>办法</w:t>
      </w:r>
    </w:p>
    <w:p>
      <w:pPr>
        <w:spacing w:line="312" w:lineRule="auto"/>
        <w:ind w:firstLine="560"/>
        <w:rPr>
          <w:rFonts w:cs="Times New Roman"/>
          <w:sz w:val="28"/>
          <w:szCs w:val="28"/>
        </w:rPr>
      </w:pPr>
      <w:r>
        <w:rPr>
          <w:rFonts w:hint="eastAsia" w:cs="Times New Roman"/>
          <w:sz w:val="28"/>
          <w:szCs w:val="28"/>
        </w:rPr>
        <w:t>1.</w:t>
      </w:r>
      <w:r>
        <w:rPr>
          <w:rFonts w:cs="Times New Roman"/>
          <w:sz w:val="28"/>
          <w:szCs w:val="28"/>
        </w:rPr>
        <w:t>初步</w:t>
      </w:r>
      <w:r>
        <w:rPr>
          <w:rFonts w:hint="eastAsia" w:cs="Times New Roman"/>
          <w:sz w:val="28"/>
          <w:szCs w:val="28"/>
        </w:rPr>
        <w:t>评审</w:t>
      </w:r>
    </w:p>
    <w:tbl>
      <w:tblPr>
        <w:tblStyle w:val="13"/>
        <w:tblW w:w="87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
        <w:gridCol w:w="78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8" w:type="dxa"/>
          </w:tcPr>
          <w:p>
            <w:pPr>
              <w:spacing w:line="312" w:lineRule="auto"/>
              <w:ind w:firstLine="0" w:firstLineChars="0"/>
              <w:rPr>
                <w:rFonts w:ascii="仿宋_GB2312" w:hAnsi="仿宋_GB2312" w:eastAsia="仿宋_GB2312" w:cs="仿宋_GB2312"/>
                <w:sz w:val="28"/>
                <w:szCs w:val="28"/>
              </w:rPr>
            </w:pPr>
          </w:p>
        </w:tc>
        <w:tc>
          <w:tcPr>
            <w:tcW w:w="7859" w:type="dxa"/>
          </w:tcPr>
          <w:p>
            <w:pPr>
              <w:spacing w:line="312" w:lineRule="auto"/>
              <w:ind w:firstLine="0" w:firstLineChars="0"/>
              <w:jc w:val="center"/>
              <w:rPr>
                <w:rFonts w:ascii="仿宋_GB2312" w:hAnsi="仿宋_GB2312" w:eastAsia="仿宋_GB2312" w:cs="仿宋_GB2312"/>
                <w:sz w:val="28"/>
                <w:szCs w:val="28"/>
              </w:rPr>
            </w:pPr>
            <w:r>
              <w:rPr>
                <w:rFonts w:hint="eastAsia" w:ascii="仿宋_GB2312" w:hAnsi="仿宋_GB2312" w:eastAsia="仿宋_GB2312" w:cs="仿宋_GB2312"/>
                <w:b/>
                <w:bCs/>
                <w:color w:val="000000"/>
                <w:kern w:val="0"/>
                <w:sz w:val="28"/>
                <w:szCs w:val="28"/>
              </w:rPr>
              <w:t>评审因素与评审标准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8" w:type="dxa"/>
            <w:vAlign w:val="center"/>
          </w:tcPr>
          <w:p>
            <w:pPr>
              <w:spacing w:line="312" w:lineRule="auto"/>
              <w:ind w:firstLine="0" w:firstLineChars="0"/>
              <w:rPr>
                <w:rFonts w:ascii="仿宋" w:hAnsi="仿宋" w:cs="仿宋"/>
                <w:sz w:val="28"/>
                <w:szCs w:val="28"/>
              </w:rPr>
            </w:pPr>
            <w:r>
              <w:rPr>
                <w:rFonts w:hint="eastAsia" w:ascii="仿宋" w:hAnsi="仿宋" w:cs="仿宋"/>
                <w:color w:val="000000"/>
                <w:kern w:val="0"/>
                <w:sz w:val="28"/>
                <w:szCs w:val="28"/>
              </w:rPr>
              <w:t>初步评审标准</w:t>
            </w:r>
          </w:p>
        </w:tc>
        <w:tc>
          <w:tcPr>
            <w:tcW w:w="7859" w:type="dxa"/>
          </w:tcPr>
          <w:p>
            <w:pPr>
              <w:widowControl/>
              <w:spacing w:line="240" w:lineRule="auto"/>
              <w:ind w:firstLine="0" w:firstLineChars="0"/>
              <w:rPr>
                <w:rFonts w:ascii="仿宋" w:hAnsi="仿宋" w:cs="宋体"/>
                <w:b/>
                <w:color w:val="000000"/>
                <w:kern w:val="0"/>
                <w:sz w:val="28"/>
                <w:szCs w:val="28"/>
              </w:rPr>
            </w:pPr>
            <w:r>
              <w:rPr>
                <w:rFonts w:hint="eastAsia" w:ascii="仿宋" w:hAnsi="仿宋" w:cs="宋体"/>
                <w:b/>
                <w:color w:val="000000"/>
                <w:kern w:val="0"/>
                <w:sz w:val="28"/>
                <w:szCs w:val="28"/>
              </w:rPr>
              <w:t>商务</w:t>
            </w:r>
            <w:r>
              <w:rPr>
                <w:rFonts w:ascii="仿宋" w:hAnsi="仿宋" w:cs="宋体"/>
                <w:b/>
                <w:color w:val="000000"/>
                <w:kern w:val="0"/>
                <w:sz w:val="28"/>
                <w:szCs w:val="28"/>
              </w:rPr>
              <w:t>技术部分：</w:t>
            </w:r>
          </w:p>
          <w:p>
            <w:pPr>
              <w:widowControl/>
              <w:spacing w:line="240" w:lineRule="auto"/>
              <w:ind w:firstLine="0" w:firstLineChars="0"/>
              <w:rPr>
                <w:rFonts w:ascii="仿宋" w:hAnsi="仿宋" w:cs="宋体"/>
                <w:color w:val="000000"/>
                <w:kern w:val="0"/>
                <w:sz w:val="28"/>
                <w:szCs w:val="28"/>
              </w:rPr>
            </w:pPr>
            <w:r>
              <w:rPr>
                <w:rFonts w:hint="eastAsia" w:ascii="仿宋" w:hAnsi="仿宋" w:cs="宋体"/>
                <w:color w:val="000000"/>
                <w:kern w:val="0"/>
                <w:sz w:val="28"/>
                <w:szCs w:val="28"/>
              </w:rPr>
              <w:t>(1)投标文件按照招标文件规定的格式、内容填写，字迹清晰可辨；</w:t>
            </w:r>
          </w:p>
          <w:p>
            <w:pPr>
              <w:widowControl/>
              <w:spacing w:line="240" w:lineRule="auto"/>
              <w:ind w:firstLine="0" w:firstLineChars="0"/>
              <w:rPr>
                <w:rFonts w:ascii="仿宋" w:hAnsi="仿宋" w:cs="宋体"/>
                <w:color w:val="000000"/>
                <w:kern w:val="0"/>
                <w:sz w:val="28"/>
                <w:szCs w:val="28"/>
              </w:rPr>
            </w:pPr>
            <w:r>
              <w:rPr>
                <w:rFonts w:hint="eastAsia" w:ascii="仿宋" w:hAnsi="仿宋" w:cs="宋体"/>
                <w:color w:val="000000"/>
                <w:kern w:val="0"/>
                <w:sz w:val="28"/>
                <w:szCs w:val="28"/>
              </w:rPr>
              <w:t>(2)投标文件上法定代表人或其授权代理人的签字、投标人的单位章齐全，符合招标文件规定；</w:t>
            </w:r>
          </w:p>
          <w:p>
            <w:pPr>
              <w:widowControl/>
              <w:spacing w:line="240" w:lineRule="auto"/>
              <w:ind w:firstLine="0" w:firstLineChars="0"/>
              <w:rPr>
                <w:rFonts w:ascii="仿宋" w:hAnsi="仿宋" w:cs="宋体"/>
                <w:color w:val="000000"/>
                <w:kern w:val="0"/>
                <w:sz w:val="28"/>
                <w:szCs w:val="28"/>
              </w:rPr>
            </w:pPr>
            <w:r>
              <w:rPr>
                <w:rFonts w:hint="eastAsia" w:ascii="仿宋" w:hAnsi="仿宋" w:cs="宋体"/>
                <w:color w:val="000000"/>
                <w:kern w:val="0"/>
                <w:sz w:val="28"/>
                <w:szCs w:val="28"/>
              </w:rPr>
              <w:t>(</w:t>
            </w:r>
            <w:r>
              <w:rPr>
                <w:rFonts w:ascii="仿宋" w:hAnsi="仿宋" w:cs="宋体"/>
                <w:color w:val="000000"/>
                <w:kern w:val="0"/>
                <w:sz w:val="28"/>
                <w:szCs w:val="28"/>
              </w:rPr>
              <w:t>3</w:t>
            </w:r>
            <w:r>
              <w:rPr>
                <w:rFonts w:hint="eastAsia" w:ascii="仿宋" w:hAnsi="仿宋" w:cs="宋体"/>
                <w:color w:val="000000"/>
                <w:kern w:val="0"/>
                <w:sz w:val="28"/>
                <w:szCs w:val="28"/>
              </w:rPr>
              <w:t>)投标人按照第二章“投标人须知”第3.3.1项和第3.3.2项规定的金额、形式、时间和账户等要求提供了投标保证金；</w:t>
            </w:r>
          </w:p>
          <w:p>
            <w:pPr>
              <w:widowControl/>
              <w:spacing w:line="240" w:lineRule="auto"/>
              <w:ind w:firstLine="0" w:firstLineChars="0"/>
              <w:rPr>
                <w:rFonts w:ascii="仿宋" w:hAnsi="仿宋" w:cs="宋体"/>
                <w:color w:val="000000"/>
                <w:kern w:val="0"/>
                <w:sz w:val="28"/>
                <w:szCs w:val="28"/>
              </w:rPr>
            </w:pPr>
            <w:r>
              <w:rPr>
                <w:rFonts w:hint="eastAsia" w:ascii="仿宋" w:hAnsi="仿宋" w:cs="宋体"/>
                <w:color w:val="000000"/>
                <w:kern w:val="0"/>
                <w:sz w:val="28"/>
                <w:szCs w:val="28"/>
              </w:rPr>
              <w:t>(</w:t>
            </w:r>
            <w:r>
              <w:rPr>
                <w:rFonts w:ascii="仿宋" w:hAnsi="仿宋" w:cs="宋体"/>
                <w:color w:val="000000"/>
                <w:kern w:val="0"/>
                <w:sz w:val="28"/>
                <w:szCs w:val="28"/>
              </w:rPr>
              <w:t>4</w:t>
            </w:r>
            <w:r>
              <w:rPr>
                <w:rFonts w:hint="eastAsia" w:ascii="仿宋" w:hAnsi="仿宋" w:cs="宋体"/>
                <w:color w:val="000000"/>
                <w:kern w:val="0"/>
                <w:sz w:val="28"/>
                <w:szCs w:val="28"/>
              </w:rPr>
              <w:t>)投标人按照第二章“投标人须知”第3.6.4项的规定，提供了法定代表人的授权委托书或法定代表人身份证明；</w:t>
            </w:r>
          </w:p>
          <w:p>
            <w:pPr>
              <w:widowControl/>
              <w:spacing w:line="240" w:lineRule="auto"/>
              <w:ind w:firstLine="0" w:firstLineChars="0"/>
              <w:rPr>
                <w:rFonts w:ascii="仿宋" w:hAnsi="仿宋" w:cs="宋体"/>
                <w:color w:val="000000"/>
                <w:kern w:val="0"/>
                <w:sz w:val="28"/>
                <w:szCs w:val="28"/>
              </w:rPr>
            </w:pPr>
            <w:r>
              <w:rPr>
                <w:rFonts w:hint="eastAsia" w:ascii="仿宋" w:hAnsi="仿宋" w:cs="宋体"/>
                <w:color w:val="000000"/>
                <w:kern w:val="0"/>
                <w:sz w:val="28"/>
                <w:szCs w:val="28"/>
              </w:rPr>
              <w:t>(</w:t>
            </w:r>
            <w:r>
              <w:rPr>
                <w:rFonts w:ascii="仿宋" w:hAnsi="仿宋" w:cs="宋体"/>
                <w:color w:val="000000"/>
                <w:kern w:val="0"/>
                <w:sz w:val="28"/>
                <w:szCs w:val="28"/>
              </w:rPr>
              <w:t>5</w:t>
            </w:r>
            <w:r>
              <w:rPr>
                <w:rFonts w:hint="eastAsia" w:ascii="仿宋" w:hAnsi="仿宋" w:cs="宋体"/>
                <w:color w:val="000000"/>
                <w:kern w:val="0"/>
                <w:sz w:val="28"/>
                <w:szCs w:val="28"/>
              </w:rPr>
              <w:t>)投标人以联合体形式投标时，联合体成员未发生变化；</w:t>
            </w:r>
          </w:p>
          <w:p>
            <w:pPr>
              <w:widowControl/>
              <w:spacing w:line="240" w:lineRule="auto"/>
              <w:ind w:firstLine="0" w:firstLineChars="0"/>
              <w:rPr>
                <w:rFonts w:ascii="仿宋" w:hAnsi="仿宋" w:cs="宋体"/>
                <w:color w:val="000000"/>
                <w:kern w:val="0"/>
                <w:sz w:val="28"/>
                <w:szCs w:val="28"/>
              </w:rPr>
            </w:pPr>
            <w:r>
              <w:rPr>
                <w:rFonts w:hint="eastAsia" w:ascii="仿宋" w:hAnsi="仿宋" w:cs="宋体"/>
                <w:color w:val="000000"/>
                <w:kern w:val="0"/>
                <w:sz w:val="28"/>
                <w:szCs w:val="28"/>
              </w:rPr>
              <w:t>(</w:t>
            </w:r>
            <w:r>
              <w:rPr>
                <w:rFonts w:ascii="仿宋" w:hAnsi="仿宋" w:cs="宋体"/>
                <w:color w:val="000000"/>
                <w:kern w:val="0"/>
                <w:sz w:val="28"/>
                <w:szCs w:val="28"/>
              </w:rPr>
              <w:t>6</w:t>
            </w:r>
            <w:r>
              <w:rPr>
                <w:rFonts w:hint="eastAsia" w:ascii="仿宋" w:hAnsi="仿宋" w:cs="宋体"/>
                <w:color w:val="000000"/>
                <w:kern w:val="0"/>
                <w:sz w:val="28"/>
                <w:szCs w:val="28"/>
              </w:rPr>
              <w:t>)投标文件没有对招标人的权利提出削弱性或限制性要求，没有对投标人的责任和义务提出实质性修改；</w:t>
            </w:r>
          </w:p>
          <w:p>
            <w:pPr>
              <w:widowControl/>
              <w:spacing w:line="240" w:lineRule="auto"/>
              <w:ind w:firstLine="0" w:firstLineChars="0"/>
              <w:rPr>
                <w:rFonts w:ascii="仿宋" w:hAnsi="仿宋" w:cs="宋体"/>
                <w:color w:val="000000"/>
                <w:kern w:val="0"/>
                <w:sz w:val="28"/>
                <w:szCs w:val="28"/>
              </w:rPr>
            </w:pPr>
            <w:r>
              <w:rPr>
                <w:rFonts w:hint="eastAsia" w:ascii="仿宋" w:hAnsi="仿宋" w:cs="宋体"/>
                <w:color w:val="000000"/>
                <w:kern w:val="0"/>
                <w:sz w:val="28"/>
                <w:szCs w:val="28"/>
              </w:rPr>
              <w:t>(</w:t>
            </w:r>
            <w:r>
              <w:rPr>
                <w:rFonts w:ascii="仿宋" w:hAnsi="仿宋" w:cs="宋体"/>
                <w:color w:val="000000"/>
                <w:kern w:val="0"/>
                <w:sz w:val="28"/>
                <w:szCs w:val="28"/>
              </w:rPr>
              <w:t>7</w:t>
            </w:r>
            <w:r>
              <w:rPr>
                <w:rFonts w:hint="eastAsia" w:ascii="仿宋" w:hAnsi="仿宋" w:cs="宋体"/>
                <w:color w:val="000000"/>
                <w:kern w:val="0"/>
                <w:sz w:val="28"/>
                <w:szCs w:val="28"/>
              </w:rPr>
              <w:t>)投标文件未附有招标人不能接受的条件。</w:t>
            </w:r>
          </w:p>
          <w:p>
            <w:pPr>
              <w:widowControl/>
              <w:spacing w:line="240" w:lineRule="auto"/>
              <w:ind w:firstLine="0" w:firstLineChars="0"/>
              <w:rPr>
                <w:rFonts w:ascii="仿宋" w:hAnsi="仿宋" w:cs="宋体"/>
                <w:b/>
                <w:color w:val="000000"/>
                <w:kern w:val="0"/>
                <w:sz w:val="28"/>
                <w:szCs w:val="28"/>
              </w:rPr>
            </w:pPr>
            <w:r>
              <w:rPr>
                <w:rFonts w:hint="eastAsia" w:ascii="仿宋" w:hAnsi="仿宋" w:cs="宋体"/>
                <w:b/>
                <w:color w:val="000000"/>
                <w:kern w:val="0"/>
                <w:sz w:val="28"/>
                <w:szCs w:val="28"/>
              </w:rPr>
              <w:t>投标</w:t>
            </w:r>
            <w:r>
              <w:rPr>
                <w:rFonts w:ascii="仿宋" w:hAnsi="仿宋" w:cs="宋体"/>
                <w:b/>
                <w:color w:val="000000"/>
                <w:kern w:val="0"/>
                <w:sz w:val="28"/>
                <w:szCs w:val="28"/>
              </w:rPr>
              <w:t>年限部分：</w:t>
            </w:r>
          </w:p>
          <w:p>
            <w:pPr>
              <w:widowControl/>
              <w:spacing w:line="240" w:lineRule="auto"/>
              <w:ind w:firstLine="0" w:firstLineChars="0"/>
              <w:rPr>
                <w:rFonts w:ascii="仿宋" w:hAnsi="仿宋" w:cs="宋体"/>
                <w:color w:val="000000"/>
                <w:kern w:val="0"/>
                <w:sz w:val="28"/>
                <w:szCs w:val="28"/>
              </w:rPr>
            </w:pPr>
            <w:r>
              <w:rPr>
                <w:rFonts w:hint="eastAsia" w:ascii="仿宋" w:hAnsi="仿宋" w:cs="宋体"/>
                <w:color w:val="000000"/>
                <w:kern w:val="0"/>
                <w:sz w:val="28"/>
                <w:szCs w:val="28"/>
              </w:rPr>
              <w:t>(1)一份投标文件只能提交一个特许经营期年限；</w:t>
            </w:r>
          </w:p>
          <w:p>
            <w:pPr>
              <w:widowControl/>
              <w:spacing w:line="240" w:lineRule="auto"/>
              <w:ind w:firstLine="0" w:firstLineChars="0"/>
              <w:rPr>
                <w:rFonts w:ascii="仿宋" w:hAnsi="仿宋" w:cs="宋体"/>
                <w:color w:val="000000"/>
                <w:kern w:val="0"/>
                <w:sz w:val="28"/>
                <w:szCs w:val="28"/>
              </w:rPr>
            </w:pPr>
            <w:r>
              <w:rPr>
                <w:rFonts w:hint="eastAsia" w:ascii="仿宋" w:hAnsi="仿宋" w:cs="宋体"/>
                <w:color w:val="000000"/>
                <w:kern w:val="0"/>
                <w:sz w:val="28"/>
                <w:szCs w:val="28"/>
              </w:rPr>
              <w:t>(2)投标文件载明的特许经营期运营期符合招标文件规定。</w:t>
            </w:r>
          </w:p>
        </w:tc>
      </w:tr>
    </w:tbl>
    <w:p>
      <w:pPr>
        <w:spacing w:line="312" w:lineRule="auto"/>
        <w:ind w:firstLine="560"/>
        <w:rPr>
          <w:rFonts w:ascii="仿宋" w:hAnsi="仿宋" w:cs="仿宋"/>
          <w:sz w:val="28"/>
          <w:szCs w:val="28"/>
        </w:rPr>
      </w:pPr>
      <w:r>
        <w:rPr>
          <w:rFonts w:hint="eastAsia" w:ascii="仿宋" w:hAnsi="仿宋" w:cs="仿宋"/>
          <w:sz w:val="28"/>
          <w:szCs w:val="28"/>
        </w:rPr>
        <w:t>2.详细评审</w:t>
      </w:r>
    </w:p>
    <w:tbl>
      <w:tblPr>
        <w:tblStyle w:val="19"/>
        <w:tblW w:w="877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29"/>
        <w:gridCol w:w="764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10" w:hRule="atLeast"/>
        </w:trPr>
        <w:tc>
          <w:tcPr>
            <w:tcW w:w="1129" w:type="dxa"/>
            <w:shd w:val="clear" w:color="auto" w:fill="FFFFFF" w:themeFill="background1"/>
          </w:tcPr>
          <w:p>
            <w:pPr>
              <w:widowControl/>
              <w:spacing w:line="240" w:lineRule="auto"/>
              <w:ind w:firstLine="0" w:firstLineChars="0"/>
              <w:jc w:val="left"/>
              <w:rPr>
                <w:rFonts w:ascii="仿宋" w:hAnsi="仿宋" w:cs="仿宋"/>
                <w:b/>
                <w:bCs/>
                <w:color w:val="000000"/>
                <w:kern w:val="0"/>
                <w:sz w:val="24"/>
                <w:szCs w:val="24"/>
              </w:rPr>
            </w:pPr>
          </w:p>
        </w:tc>
        <w:tc>
          <w:tcPr>
            <w:tcW w:w="7648" w:type="dxa"/>
            <w:shd w:val="clear" w:color="auto" w:fill="FFFFFF" w:themeFill="background1"/>
          </w:tcPr>
          <w:p>
            <w:pPr>
              <w:spacing w:line="312" w:lineRule="auto"/>
              <w:ind w:firstLine="0" w:firstLineChars="0"/>
              <w:jc w:val="center"/>
              <w:rPr>
                <w:rFonts w:ascii="仿宋" w:hAnsi="仿宋" w:cs="仿宋"/>
                <w:b/>
                <w:bCs/>
                <w:color w:val="000000"/>
                <w:kern w:val="0"/>
                <w:sz w:val="24"/>
                <w:szCs w:val="24"/>
              </w:rPr>
            </w:pPr>
            <w:r>
              <w:rPr>
                <w:rFonts w:hint="eastAsia" w:ascii="仿宋_GB2312" w:hAnsi="仿宋_GB2312" w:eastAsia="仿宋_GB2312" w:cs="仿宋_GB2312"/>
                <w:b/>
                <w:bCs/>
                <w:color w:val="000000"/>
                <w:kern w:val="0"/>
                <w:sz w:val="28"/>
                <w:szCs w:val="28"/>
              </w:rPr>
              <w:t>评审因素与评审标准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258" w:hRule="atLeast"/>
        </w:trPr>
        <w:tc>
          <w:tcPr>
            <w:tcW w:w="1129" w:type="dxa"/>
            <w:shd w:val="clear" w:color="auto" w:fill="FFFFFF" w:themeFill="background1"/>
            <w:vAlign w:val="center"/>
          </w:tcPr>
          <w:p>
            <w:pPr>
              <w:widowControl/>
              <w:spacing w:line="240" w:lineRule="auto"/>
              <w:ind w:firstLine="0" w:firstLineChars="0"/>
              <w:rPr>
                <w:rFonts w:ascii="仿宋" w:hAnsi="仿宋" w:cs="仿宋"/>
                <w:color w:val="000000"/>
                <w:kern w:val="0"/>
                <w:sz w:val="28"/>
                <w:szCs w:val="28"/>
              </w:rPr>
            </w:pPr>
            <w:r>
              <w:rPr>
                <w:rFonts w:hint="eastAsia" w:ascii="仿宋" w:hAnsi="仿宋" w:cs="仿宋"/>
                <w:color w:val="000000"/>
                <w:kern w:val="0"/>
                <w:sz w:val="28"/>
                <w:szCs w:val="28"/>
              </w:rPr>
              <w:t>详细评审标准</w:t>
            </w:r>
          </w:p>
        </w:tc>
        <w:tc>
          <w:tcPr>
            <w:tcW w:w="7648" w:type="dxa"/>
            <w:shd w:val="clear" w:color="auto" w:fill="FFFFFF" w:themeFill="background1"/>
          </w:tcPr>
          <w:p>
            <w:pPr>
              <w:widowControl/>
              <w:spacing w:line="240" w:lineRule="auto"/>
              <w:ind w:firstLine="0" w:firstLineChars="0"/>
              <w:rPr>
                <w:rFonts w:ascii="仿宋" w:hAnsi="仿宋" w:cs="宋体"/>
                <w:color w:val="000000"/>
                <w:kern w:val="0"/>
                <w:sz w:val="28"/>
                <w:szCs w:val="28"/>
              </w:rPr>
            </w:pPr>
            <w:r>
              <w:rPr>
                <w:rFonts w:hint="eastAsia" w:ascii="仿宋" w:hAnsi="仿宋" w:cs="宋体"/>
                <w:color w:val="000000"/>
                <w:kern w:val="0"/>
                <w:sz w:val="28"/>
                <w:szCs w:val="28"/>
              </w:rPr>
              <w:t>(1)投标人承诺投入的项目资本金（包括总额、首期到位资本金以及资本金全部到位时间等）满足招标文件要求；</w:t>
            </w:r>
          </w:p>
          <w:p>
            <w:pPr>
              <w:widowControl/>
              <w:spacing w:line="240" w:lineRule="auto"/>
              <w:ind w:firstLine="0" w:firstLineChars="0"/>
              <w:rPr>
                <w:rFonts w:ascii="仿宋" w:hAnsi="仿宋" w:cs="宋体"/>
                <w:color w:val="000000"/>
                <w:kern w:val="0"/>
                <w:sz w:val="28"/>
                <w:szCs w:val="28"/>
              </w:rPr>
            </w:pPr>
            <w:r>
              <w:rPr>
                <w:rFonts w:hint="eastAsia" w:ascii="仿宋" w:hAnsi="仿宋" w:cs="宋体"/>
                <w:color w:val="000000"/>
                <w:kern w:val="0"/>
                <w:sz w:val="28"/>
                <w:szCs w:val="28"/>
              </w:rPr>
              <w:t>(2)资金筹集方案合理可行，措施可靠，能保证按时到位；</w:t>
            </w:r>
          </w:p>
          <w:p>
            <w:pPr>
              <w:spacing w:line="240" w:lineRule="auto"/>
              <w:ind w:firstLine="0" w:firstLineChars="0"/>
              <w:rPr>
                <w:rFonts w:ascii="仿宋" w:hAnsi="仿宋" w:cs="仿宋"/>
                <w:color w:val="000000"/>
                <w:kern w:val="0"/>
                <w:sz w:val="28"/>
                <w:szCs w:val="28"/>
              </w:rPr>
            </w:pPr>
            <w:r>
              <w:rPr>
                <w:rFonts w:hint="eastAsia" w:ascii="仿宋" w:hAnsi="仿宋" w:cs="宋体"/>
                <w:color w:val="000000"/>
                <w:kern w:val="0"/>
                <w:sz w:val="28"/>
                <w:szCs w:val="28"/>
              </w:rPr>
              <w:t>(3)投标人承诺的工程质量目标、运营养护目标不低于招标文件规定。</w:t>
            </w:r>
          </w:p>
        </w:tc>
      </w:tr>
    </w:tbl>
    <w:p>
      <w:pPr>
        <w:spacing w:line="312" w:lineRule="auto"/>
        <w:ind w:firstLine="560"/>
        <w:rPr>
          <w:rFonts w:ascii="仿宋" w:hAnsi="仿宋" w:cs="仿宋"/>
          <w:sz w:val="28"/>
          <w:szCs w:val="28"/>
        </w:rPr>
      </w:pPr>
      <w:r>
        <w:rPr>
          <w:rFonts w:hint="eastAsia" w:ascii="仿宋" w:hAnsi="仿宋" w:cs="仿宋"/>
          <w:sz w:val="28"/>
          <w:szCs w:val="28"/>
        </w:rPr>
        <w:t>3.</w:t>
      </w:r>
      <w:r>
        <w:rPr>
          <w:rFonts w:ascii="仿宋" w:hAnsi="仿宋" w:cs="仿宋"/>
          <w:sz w:val="28"/>
          <w:szCs w:val="28"/>
        </w:rPr>
        <w:t>评标标准</w:t>
      </w:r>
    </w:p>
    <w:tbl>
      <w:tblPr>
        <w:tblStyle w:val="2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661"/>
        <w:gridCol w:w="700"/>
        <w:gridCol w:w="1001"/>
        <w:gridCol w:w="133"/>
        <w:gridCol w:w="1855"/>
        <w:gridCol w:w="709"/>
        <w:gridCol w:w="3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8913" w:type="dxa"/>
            <w:gridSpan w:val="8"/>
          </w:tcPr>
          <w:p>
            <w:pPr>
              <w:widowControl/>
              <w:spacing w:line="240" w:lineRule="auto"/>
              <w:ind w:firstLine="422"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评审因素与评审标准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3" w:hRule="atLeast"/>
        </w:trPr>
        <w:tc>
          <w:tcPr>
            <w:tcW w:w="1829" w:type="dxa"/>
            <w:gridSpan w:val="3"/>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分值构成</w:t>
            </w:r>
          </w:p>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(总分100分)</w:t>
            </w:r>
          </w:p>
        </w:tc>
        <w:tc>
          <w:tcPr>
            <w:tcW w:w="7084" w:type="dxa"/>
            <w:gridSpan w:val="5"/>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kern w:val="0"/>
                <w:sz w:val="21"/>
                <w:szCs w:val="21"/>
              </w:rPr>
              <w:t>(</w:t>
            </w:r>
            <w:r>
              <w:rPr>
                <w:rFonts w:ascii="宋体" w:hAnsi="宋体" w:eastAsia="宋体" w:cs="宋体"/>
                <w:color w:val="000000"/>
                <w:kern w:val="0"/>
                <w:sz w:val="21"/>
                <w:szCs w:val="21"/>
              </w:rPr>
              <w:t>1</w:t>
            </w:r>
            <w:r>
              <w:rPr>
                <w:rFonts w:hint="eastAsia" w:ascii="宋体" w:hAnsi="宋体" w:eastAsia="宋体" w:cs="宋体"/>
                <w:color w:val="000000" w:themeColor="text1"/>
                <w:sz w:val="21"/>
                <w:szCs w:val="21"/>
                <w14:textFill>
                  <w14:solidFill>
                    <w14:schemeClr w14:val="tx1"/>
                  </w14:solidFill>
                </w14:textFill>
              </w:rPr>
              <w:t>)投融资能力：15分；</w:t>
            </w:r>
          </w:p>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(2)财务状况：15分；</w:t>
            </w:r>
          </w:p>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(3)投融资、建设、运营管理经验：10分；</w:t>
            </w:r>
          </w:p>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(4)方案：20分，包括项目公司组建方案，项目建设方案，项目运营、移交方案；</w:t>
            </w:r>
          </w:p>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(5)商业信誉：5分；</w:t>
            </w:r>
          </w:p>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(6)特许经营期运营期年限：35分。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468" w:type="dxa"/>
            <w:vMerge w:val="restart"/>
            <w:vAlign w:val="center"/>
          </w:tcPr>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评分标准</w:t>
            </w: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评分标准</w:t>
            </w:r>
          </w:p>
        </w:tc>
        <w:tc>
          <w:tcPr>
            <w:tcW w:w="5059" w:type="dxa"/>
            <w:gridSpan w:val="6"/>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评分因素与评分值</w:t>
            </w:r>
          </w:p>
        </w:tc>
        <w:tc>
          <w:tcPr>
            <w:tcW w:w="3386" w:type="dxa"/>
            <w:vMerge w:val="restart"/>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468" w:type="dxa"/>
            <w:vMerge w:val="continue"/>
          </w:tcPr>
          <w:p>
            <w:pPr>
              <w:widowControl/>
              <w:spacing w:line="240" w:lineRule="auto"/>
              <w:ind w:firstLine="0" w:firstLineChars="0"/>
              <w:jc w:val="left"/>
              <w:rPr>
                <w:rFonts w:ascii="宋体" w:hAnsi="宋体" w:eastAsia="宋体" w:cs="宋体"/>
                <w:color w:val="000000"/>
                <w:kern w:val="0"/>
                <w:sz w:val="21"/>
                <w:szCs w:val="21"/>
              </w:rPr>
            </w:pPr>
          </w:p>
        </w:tc>
        <w:tc>
          <w:tcPr>
            <w:tcW w:w="1361" w:type="dxa"/>
            <w:gridSpan w:val="2"/>
            <w:vAlign w:val="center"/>
          </w:tcPr>
          <w:p>
            <w:pPr>
              <w:widowControl/>
              <w:spacing w:line="240" w:lineRule="auto"/>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评分因素</w:t>
            </w:r>
          </w:p>
        </w:tc>
        <w:tc>
          <w:tcPr>
            <w:tcW w:w="1001" w:type="dxa"/>
            <w:vAlign w:val="center"/>
          </w:tcPr>
          <w:p>
            <w:pPr>
              <w:widowControl/>
              <w:spacing w:line="240" w:lineRule="auto"/>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评分因素评分值</w:t>
            </w:r>
          </w:p>
        </w:tc>
        <w:tc>
          <w:tcPr>
            <w:tcW w:w="1988" w:type="dxa"/>
            <w:gridSpan w:val="2"/>
            <w:vAlign w:val="center"/>
          </w:tcPr>
          <w:p>
            <w:pPr>
              <w:widowControl/>
              <w:spacing w:line="240" w:lineRule="auto"/>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各评分因素细分项</w:t>
            </w:r>
          </w:p>
        </w:tc>
        <w:tc>
          <w:tcPr>
            <w:tcW w:w="709" w:type="dxa"/>
            <w:vAlign w:val="center"/>
          </w:tcPr>
          <w:p>
            <w:pPr>
              <w:widowControl/>
              <w:spacing w:line="240" w:lineRule="auto"/>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分值</w:t>
            </w:r>
          </w:p>
        </w:tc>
        <w:tc>
          <w:tcPr>
            <w:tcW w:w="3386" w:type="dxa"/>
            <w:vMerge w:val="continue"/>
          </w:tcPr>
          <w:p>
            <w:pPr>
              <w:widowControl/>
              <w:spacing w:line="240" w:lineRule="auto"/>
              <w:ind w:firstLine="0" w:firstLineChars="0"/>
              <w:jc w:val="left"/>
              <w:rPr>
                <w:rFonts w:ascii="宋体" w:hAnsi="宋体" w:eastAsia="宋体" w:cs="宋体"/>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0" w:hRule="atLeast"/>
        </w:trPr>
        <w:tc>
          <w:tcPr>
            <w:tcW w:w="468" w:type="dxa"/>
            <w:vMerge w:val="continue"/>
          </w:tcPr>
          <w:p>
            <w:pPr>
              <w:widowControl/>
              <w:spacing w:line="240" w:lineRule="auto"/>
              <w:ind w:firstLine="0" w:firstLineChars="0"/>
              <w:jc w:val="left"/>
              <w:rPr>
                <w:rFonts w:ascii="宋体" w:hAnsi="宋体" w:eastAsia="宋体" w:cs="宋体"/>
                <w:color w:val="000000"/>
                <w:kern w:val="0"/>
                <w:sz w:val="21"/>
                <w:szCs w:val="21"/>
              </w:rPr>
            </w:pPr>
          </w:p>
        </w:tc>
        <w:tc>
          <w:tcPr>
            <w:tcW w:w="1361" w:type="dxa"/>
            <w:gridSpan w:val="2"/>
            <w:vMerge w:val="restart"/>
            <w:vAlign w:val="center"/>
          </w:tcPr>
          <w:p>
            <w:pPr>
              <w:widowControl/>
              <w:spacing w:line="240" w:lineRule="auto"/>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投融资能力</w:t>
            </w:r>
          </w:p>
        </w:tc>
        <w:tc>
          <w:tcPr>
            <w:tcW w:w="1001" w:type="dxa"/>
            <w:vMerge w:val="restart"/>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15分</w:t>
            </w:r>
          </w:p>
        </w:tc>
        <w:tc>
          <w:tcPr>
            <w:tcW w:w="1988" w:type="dxa"/>
            <w:gridSpan w:val="2"/>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投标人承诺出资的项目资本金额度</w:t>
            </w:r>
          </w:p>
        </w:tc>
        <w:tc>
          <w:tcPr>
            <w:tcW w:w="709" w:type="dxa"/>
            <w:vAlign w:val="center"/>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3分</w:t>
            </w:r>
          </w:p>
        </w:tc>
        <w:tc>
          <w:tcPr>
            <w:tcW w:w="3386" w:type="dxa"/>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达到招标文件要求的资本金额度得1.8分，每超过招标文件要求的资本金额度1亿元人民币，加0.2分，最多加1.2分。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0" w:hRule="atLeast"/>
        </w:trPr>
        <w:tc>
          <w:tcPr>
            <w:tcW w:w="468" w:type="dxa"/>
            <w:vMerge w:val="continue"/>
          </w:tcPr>
          <w:p>
            <w:pPr>
              <w:widowControl/>
              <w:spacing w:line="240" w:lineRule="auto"/>
              <w:ind w:firstLine="0" w:firstLineChars="0"/>
              <w:jc w:val="left"/>
              <w:rPr>
                <w:rFonts w:ascii="宋体" w:hAnsi="宋体" w:eastAsia="宋体" w:cs="宋体"/>
                <w:color w:val="000000"/>
                <w:kern w:val="0"/>
                <w:sz w:val="21"/>
                <w:szCs w:val="21"/>
              </w:rPr>
            </w:pPr>
          </w:p>
        </w:tc>
        <w:tc>
          <w:tcPr>
            <w:tcW w:w="1361" w:type="dxa"/>
            <w:gridSpan w:val="2"/>
            <w:vMerge w:val="continue"/>
            <w:vAlign w:val="center"/>
          </w:tcPr>
          <w:p>
            <w:pPr>
              <w:widowControl/>
              <w:spacing w:line="240" w:lineRule="auto"/>
              <w:ind w:firstLine="0" w:firstLineChars="0"/>
              <w:jc w:val="left"/>
              <w:rPr>
                <w:rFonts w:ascii="宋体" w:hAnsi="宋体" w:eastAsia="宋体" w:cs="宋体"/>
                <w:color w:val="000000"/>
                <w:kern w:val="0"/>
                <w:sz w:val="21"/>
                <w:szCs w:val="21"/>
              </w:rPr>
            </w:pPr>
          </w:p>
        </w:tc>
        <w:tc>
          <w:tcPr>
            <w:tcW w:w="1001" w:type="dxa"/>
            <w:vMerge w:val="continue"/>
            <w:vAlign w:val="center"/>
          </w:tcPr>
          <w:p>
            <w:pPr>
              <w:widowControl/>
              <w:spacing w:line="240" w:lineRule="auto"/>
              <w:ind w:firstLine="0" w:firstLineChars="0"/>
              <w:jc w:val="center"/>
              <w:rPr>
                <w:rFonts w:ascii="宋体" w:hAnsi="宋体" w:eastAsia="宋体" w:cs="宋体"/>
                <w:color w:val="000000"/>
                <w:kern w:val="0"/>
                <w:sz w:val="21"/>
                <w:szCs w:val="21"/>
              </w:rPr>
            </w:pPr>
          </w:p>
        </w:tc>
        <w:tc>
          <w:tcPr>
            <w:tcW w:w="1988" w:type="dxa"/>
            <w:gridSpan w:val="2"/>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融资方案</w:t>
            </w:r>
          </w:p>
        </w:tc>
        <w:tc>
          <w:tcPr>
            <w:tcW w:w="709" w:type="dxa"/>
            <w:vAlign w:val="center"/>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3分</w:t>
            </w:r>
          </w:p>
        </w:tc>
        <w:tc>
          <w:tcPr>
            <w:tcW w:w="3386" w:type="dxa"/>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融资方案有效性、可行性、操作性一般的得1.8分，较好的得1.8-2.4分，好的得2.4-3分。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0" w:hRule="atLeast"/>
        </w:trPr>
        <w:tc>
          <w:tcPr>
            <w:tcW w:w="468" w:type="dxa"/>
            <w:vMerge w:val="continue"/>
          </w:tcPr>
          <w:p>
            <w:pPr>
              <w:widowControl/>
              <w:spacing w:line="240" w:lineRule="auto"/>
              <w:ind w:firstLine="0" w:firstLineChars="0"/>
              <w:jc w:val="left"/>
              <w:rPr>
                <w:rFonts w:ascii="宋体" w:hAnsi="宋体" w:eastAsia="宋体" w:cs="宋体"/>
                <w:color w:val="000000"/>
                <w:kern w:val="0"/>
                <w:sz w:val="21"/>
                <w:szCs w:val="21"/>
              </w:rPr>
            </w:pPr>
          </w:p>
        </w:tc>
        <w:tc>
          <w:tcPr>
            <w:tcW w:w="1361" w:type="dxa"/>
            <w:gridSpan w:val="2"/>
            <w:vMerge w:val="continue"/>
            <w:vAlign w:val="center"/>
          </w:tcPr>
          <w:p>
            <w:pPr>
              <w:widowControl/>
              <w:spacing w:line="240" w:lineRule="auto"/>
              <w:ind w:firstLine="0" w:firstLineChars="0"/>
              <w:jc w:val="left"/>
              <w:rPr>
                <w:rFonts w:ascii="宋体" w:hAnsi="宋体" w:eastAsia="宋体" w:cs="宋体"/>
                <w:color w:val="000000"/>
                <w:kern w:val="0"/>
                <w:sz w:val="21"/>
                <w:szCs w:val="21"/>
              </w:rPr>
            </w:pPr>
          </w:p>
        </w:tc>
        <w:tc>
          <w:tcPr>
            <w:tcW w:w="1001" w:type="dxa"/>
            <w:vMerge w:val="continue"/>
          </w:tcPr>
          <w:p>
            <w:pPr>
              <w:widowControl/>
              <w:spacing w:line="240" w:lineRule="auto"/>
              <w:ind w:firstLine="0" w:firstLineChars="0"/>
              <w:jc w:val="left"/>
              <w:rPr>
                <w:rFonts w:ascii="宋体" w:hAnsi="宋体" w:eastAsia="宋体" w:cs="宋体"/>
                <w:color w:val="000000"/>
                <w:kern w:val="0"/>
                <w:sz w:val="21"/>
                <w:szCs w:val="21"/>
              </w:rPr>
            </w:pPr>
          </w:p>
        </w:tc>
        <w:tc>
          <w:tcPr>
            <w:tcW w:w="1988" w:type="dxa"/>
            <w:gridSpan w:val="2"/>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独立投标人或联合体牵头人2017年末净资产</w:t>
            </w:r>
          </w:p>
        </w:tc>
        <w:tc>
          <w:tcPr>
            <w:tcW w:w="709" w:type="dxa"/>
            <w:vAlign w:val="center"/>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3分</w:t>
            </w:r>
          </w:p>
        </w:tc>
        <w:tc>
          <w:tcPr>
            <w:tcW w:w="3386" w:type="dxa"/>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2017年年末净资产大于或等于400亿元人民币，得1.8分，每增加10亿元加0.1分，最多加1.2分。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5" w:hRule="atLeast"/>
        </w:trPr>
        <w:tc>
          <w:tcPr>
            <w:tcW w:w="468" w:type="dxa"/>
            <w:vMerge w:val="continue"/>
          </w:tcPr>
          <w:p>
            <w:pPr>
              <w:widowControl/>
              <w:spacing w:line="240" w:lineRule="auto"/>
              <w:ind w:firstLine="0" w:firstLineChars="0"/>
              <w:jc w:val="left"/>
              <w:rPr>
                <w:rFonts w:ascii="宋体" w:hAnsi="宋体" w:eastAsia="宋体" w:cs="宋体"/>
                <w:color w:val="000000"/>
                <w:kern w:val="0"/>
                <w:sz w:val="21"/>
                <w:szCs w:val="21"/>
              </w:rPr>
            </w:pPr>
          </w:p>
        </w:tc>
        <w:tc>
          <w:tcPr>
            <w:tcW w:w="1361" w:type="dxa"/>
            <w:gridSpan w:val="2"/>
            <w:vMerge w:val="continue"/>
            <w:vAlign w:val="center"/>
          </w:tcPr>
          <w:p>
            <w:pPr>
              <w:widowControl/>
              <w:spacing w:line="240" w:lineRule="auto"/>
              <w:ind w:firstLine="0" w:firstLineChars="0"/>
              <w:jc w:val="left"/>
              <w:rPr>
                <w:rFonts w:ascii="宋体" w:hAnsi="宋体" w:eastAsia="宋体" w:cs="宋体"/>
                <w:color w:val="000000"/>
                <w:kern w:val="0"/>
                <w:sz w:val="21"/>
                <w:szCs w:val="21"/>
              </w:rPr>
            </w:pPr>
          </w:p>
        </w:tc>
        <w:tc>
          <w:tcPr>
            <w:tcW w:w="1001" w:type="dxa"/>
            <w:vMerge w:val="continue"/>
          </w:tcPr>
          <w:p>
            <w:pPr>
              <w:widowControl/>
              <w:spacing w:line="240" w:lineRule="auto"/>
              <w:ind w:firstLine="0" w:firstLineChars="0"/>
              <w:jc w:val="left"/>
              <w:rPr>
                <w:rFonts w:ascii="宋体" w:hAnsi="宋体" w:eastAsia="宋体" w:cs="宋体"/>
                <w:color w:val="000000"/>
                <w:kern w:val="0"/>
                <w:sz w:val="21"/>
                <w:szCs w:val="21"/>
              </w:rPr>
            </w:pPr>
          </w:p>
        </w:tc>
        <w:tc>
          <w:tcPr>
            <w:tcW w:w="1988" w:type="dxa"/>
            <w:gridSpan w:val="2"/>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独立投标人或联合体牵头人银行针对项目的贷款意向书</w:t>
            </w:r>
          </w:p>
        </w:tc>
        <w:tc>
          <w:tcPr>
            <w:tcW w:w="709" w:type="dxa"/>
            <w:vAlign w:val="center"/>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3分</w:t>
            </w:r>
          </w:p>
        </w:tc>
        <w:tc>
          <w:tcPr>
            <w:tcW w:w="3386" w:type="dxa"/>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贷款额度大于或等于93亿元的得1.8分，每增加1亿元，加0.1分，最多加1.2分。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3" w:hRule="atLeast"/>
        </w:trPr>
        <w:tc>
          <w:tcPr>
            <w:tcW w:w="468" w:type="dxa"/>
            <w:vMerge w:val="continue"/>
          </w:tcPr>
          <w:p>
            <w:pPr>
              <w:widowControl/>
              <w:spacing w:line="240" w:lineRule="auto"/>
              <w:ind w:firstLine="0" w:firstLineChars="0"/>
              <w:jc w:val="left"/>
              <w:rPr>
                <w:rFonts w:ascii="宋体" w:hAnsi="宋体" w:eastAsia="宋体" w:cs="宋体"/>
                <w:color w:val="000000"/>
                <w:kern w:val="0"/>
                <w:sz w:val="21"/>
                <w:szCs w:val="21"/>
              </w:rPr>
            </w:pPr>
          </w:p>
        </w:tc>
        <w:tc>
          <w:tcPr>
            <w:tcW w:w="1361" w:type="dxa"/>
            <w:gridSpan w:val="2"/>
            <w:vMerge w:val="continue"/>
            <w:vAlign w:val="center"/>
          </w:tcPr>
          <w:p>
            <w:pPr>
              <w:widowControl/>
              <w:spacing w:line="240" w:lineRule="auto"/>
              <w:ind w:firstLine="0" w:firstLineChars="0"/>
              <w:jc w:val="left"/>
              <w:rPr>
                <w:rFonts w:ascii="宋体" w:hAnsi="宋体" w:eastAsia="宋体" w:cs="宋体"/>
                <w:color w:val="000000"/>
                <w:kern w:val="0"/>
                <w:sz w:val="21"/>
                <w:szCs w:val="21"/>
              </w:rPr>
            </w:pPr>
          </w:p>
        </w:tc>
        <w:tc>
          <w:tcPr>
            <w:tcW w:w="1001" w:type="dxa"/>
            <w:vMerge w:val="continue"/>
          </w:tcPr>
          <w:p>
            <w:pPr>
              <w:widowControl/>
              <w:spacing w:line="240" w:lineRule="auto"/>
              <w:ind w:firstLine="0" w:firstLineChars="0"/>
              <w:jc w:val="left"/>
              <w:rPr>
                <w:rFonts w:ascii="宋体" w:hAnsi="宋体" w:eastAsia="宋体" w:cs="宋体"/>
                <w:color w:val="000000"/>
                <w:kern w:val="0"/>
                <w:sz w:val="21"/>
                <w:szCs w:val="21"/>
              </w:rPr>
            </w:pPr>
          </w:p>
        </w:tc>
        <w:tc>
          <w:tcPr>
            <w:tcW w:w="1988" w:type="dxa"/>
            <w:gridSpan w:val="2"/>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银行针对独立投标人或联合体牵头人的授信额度</w:t>
            </w:r>
          </w:p>
        </w:tc>
        <w:tc>
          <w:tcPr>
            <w:tcW w:w="709" w:type="dxa"/>
            <w:vAlign w:val="center"/>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3分</w:t>
            </w:r>
          </w:p>
        </w:tc>
        <w:tc>
          <w:tcPr>
            <w:tcW w:w="3386" w:type="dxa"/>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授信额度大于或等于130亿元的得1.8分，每增加10亿元，加0.2分，最多加1.2分。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2" w:hRule="atLeast"/>
        </w:trPr>
        <w:tc>
          <w:tcPr>
            <w:tcW w:w="468" w:type="dxa"/>
            <w:vMerge w:val="continue"/>
          </w:tcPr>
          <w:p>
            <w:pPr>
              <w:widowControl/>
              <w:spacing w:line="240" w:lineRule="auto"/>
              <w:ind w:firstLine="0" w:firstLineChars="0"/>
              <w:jc w:val="left"/>
              <w:rPr>
                <w:rFonts w:ascii="宋体" w:hAnsi="宋体" w:eastAsia="宋体" w:cs="宋体"/>
                <w:color w:val="000000"/>
                <w:kern w:val="0"/>
                <w:sz w:val="21"/>
                <w:szCs w:val="21"/>
              </w:rPr>
            </w:pPr>
          </w:p>
        </w:tc>
        <w:tc>
          <w:tcPr>
            <w:tcW w:w="1361" w:type="dxa"/>
            <w:gridSpan w:val="2"/>
            <w:vMerge w:val="restart"/>
            <w:vAlign w:val="center"/>
          </w:tcPr>
          <w:p>
            <w:pPr>
              <w:widowControl/>
              <w:spacing w:line="240" w:lineRule="auto"/>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财务状况</w:t>
            </w:r>
          </w:p>
        </w:tc>
        <w:tc>
          <w:tcPr>
            <w:tcW w:w="1001" w:type="dxa"/>
            <w:vMerge w:val="restart"/>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15分</w:t>
            </w:r>
          </w:p>
        </w:tc>
        <w:tc>
          <w:tcPr>
            <w:tcW w:w="1988" w:type="dxa"/>
            <w:gridSpan w:val="2"/>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独立投标人或联合体牵头人2017年末资产负债率</w:t>
            </w:r>
          </w:p>
        </w:tc>
        <w:tc>
          <w:tcPr>
            <w:tcW w:w="709" w:type="dxa"/>
            <w:vAlign w:val="center"/>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5分</w:t>
            </w:r>
          </w:p>
        </w:tc>
        <w:tc>
          <w:tcPr>
            <w:tcW w:w="3386" w:type="dxa"/>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2017年年末资产负债率小于85%的，得3分，在85%的基础上每降低2%，加0.5分，最多加2分。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4" w:hRule="atLeast"/>
        </w:trPr>
        <w:tc>
          <w:tcPr>
            <w:tcW w:w="468" w:type="dxa"/>
            <w:vMerge w:val="continue"/>
          </w:tcPr>
          <w:p>
            <w:pPr>
              <w:widowControl/>
              <w:spacing w:line="240" w:lineRule="auto"/>
              <w:ind w:firstLine="0" w:firstLineChars="0"/>
              <w:jc w:val="left"/>
              <w:rPr>
                <w:rFonts w:ascii="宋体" w:hAnsi="宋体" w:eastAsia="宋体" w:cs="宋体"/>
                <w:color w:val="000000"/>
                <w:kern w:val="0"/>
                <w:sz w:val="21"/>
                <w:szCs w:val="21"/>
              </w:rPr>
            </w:pPr>
          </w:p>
        </w:tc>
        <w:tc>
          <w:tcPr>
            <w:tcW w:w="1361" w:type="dxa"/>
            <w:gridSpan w:val="2"/>
            <w:vMerge w:val="continue"/>
            <w:vAlign w:val="center"/>
          </w:tcPr>
          <w:p>
            <w:pPr>
              <w:widowControl/>
              <w:spacing w:line="240" w:lineRule="auto"/>
              <w:ind w:firstLine="0" w:firstLineChars="0"/>
              <w:jc w:val="left"/>
              <w:rPr>
                <w:rFonts w:ascii="宋体" w:hAnsi="宋体" w:eastAsia="宋体" w:cs="宋体"/>
                <w:color w:val="000000"/>
                <w:kern w:val="0"/>
                <w:sz w:val="21"/>
                <w:szCs w:val="21"/>
              </w:rPr>
            </w:pPr>
          </w:p>
        </w:tc>
        <w:tc>
          <w:tcPr>
            <w:tcW w:w="1001" w:type="dxa"/>
            <w:vMerge w:val="continue"/>
            <w:vAlign w:val="center"/>
          </w:tcPr>
          <w:p>
            <w:pPr>
              <w:widowControl/>
              <w:spacing w:line="240" w:lineRule="auto"/>
              <w:ind w:firstLine="0" w:firstLineChars="0"/>
              <w:jc w:val="left"/>
              <w:rPr>
                <w:rFonts w:ascii="宋体" w:hAnsi="宋体" w:eastAsia="宋体" w:cs="宋体"/>
                <w:color w:val="000000"/>
                <w:kern w:val="0"/>
                <w:sz w:val="21"/>
                <w:szCs w:val="21"/>
              </w:rPr>
            </w:pPr>
          </w:p>
        </w:tc>
        <w:tc>
          <w:tcPr>
            <w:tcW w:w="1988" w:type="dxa"/>
            <w:gridSpan w:val="2"/>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独立投标人或联合体牵头人注册资本</w:t>
            </w:r>
          </w:p>
        </w:tc>
        <w:tc>
          <w:tcPr>
            <w:tcW w:w="709" w:type="dxa"/>
            <w:vAlign w:val="center"/>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5分</w:t>
            </w:r>
          </w:p>
        </w:tc>
        <w:tc>
          <w:tcPr>
            <w:tcW w:w="3386" w:type="dxa"/>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注册资本大于或等于45亿元的，得3分，每增加10亿元，加1分，最多加2分。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1" w:hRule="atLeast"/>
        </w:trPr>
        <w:tc>
          <w:tcPr>
            <w:tcW w:w="468" w:type="dxa"/>
            <w:vMerge w:val="continue"/>
          </w:tcPr>
          <w:p>
            <w:pPr>
              <w:widowControl/>
              <w:spacing w:line="240" w:lineRule="auto"/>
              <w:ind w:firstLine="0" w:firstLineChars="0"/>
              <w:jc w:val="left"/>
              <w:rPr>
                <w:rFonts w:ascii="宋体" w:hAnsi="宋体" w:eastAsia="宋体" w:cs="宋体"/>
                <w:color w:val="000000"/>
                <w:kern w:val="0"/>
                <w:sz w:val="21"/>
                <w:szCs w:val="21"/>
              </w:rPr>
            </w:pPr>
          </w:p>
        </w:tc>
        <w:tc>
          <w:tcPr>
            <w:tcW w:w="1361" w:type="dxa"/>
            <w:gridSpan w:val="2"/>
            <w:vMerge w:val="continue"/>
            <w:vAlign w:val="center"/>
          </w:tcPr>
          <w:p>
            <w:pPr>
              <w:widowControl/>
              <w:spacing w:line="240" w:lineRule="auto"/>
              <w:ind w:firstLine="0" w:firstLineChars="0"/>
              <w:jc w:val="left"/>
              <w:rPr>
                <w:rFonts w:ascii="宋体" w:hAnsi="宋体" w:eastAsia="宋体" w:cs="宋体"/>
                <w:color w:val="000000"/>
                <w:kern w:val="0"/>
                <w:sz w:val="21"/>
                <w:szCs w:val="21"/>
              </w:rPr>
            </w:pPr>
          </w:p>
        </w:tc>
        <w:tc>
          <w:tcPr>
            <w:tcW w:w="1001" w:type="dxa"/>
            <w:vMerge w:val="continue"/>
            <w:vAlign w:val="center"/>
          </w:tcPr>
          <w:p>
            <w:pPr>
              <w:widowControl/>
              <w:spacing w:line="240" w:lineRule="auto"/>
              <w:ind w:firstLine="0" w:firstLineChars="0"/>
              <w:jc w:val="left"/>
              <w:rPr>
                <w:rFonts w:ascii="宋体" w:hAnsi="宋体" w:eastAsia="宋体" w:cs="宋体"/>
                <w:color w:val="000000"/>
                <w:kern w:val="0"/>
                <w:sz w:val="21"/>
                <w:szCs w:val="21"/>
              </w:rPr>
            </w:pPr>
          </w:p>
        </w:tc>
        <w:tc>
          <w:tcPr>
            <w:tcW w:w="1988" w:type="dxa"/>
            <w:gridSpan w:val="2"/>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独立投标人或联合体牵头人总资产</w:t>
            </w:r>
          </w:p>
        </w:tc>
        <w:tc>
          <w:tcPr>
            <w:tcW w:w="709" w:type="dxa"/>
            <w:vAlign w:val="center"/>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5分</w:t>
            </w:r>
          </w:p>
        </w:tc>
        <w:tc>
          <w:tcPr>
            <w:tcW w:w="3386" w:type="dxa"/>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2017年年末总资产大于或等于1500亿元，得3分，每增加500亿元，加1分，最多加2分。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rPr>
        <w:tc>
          <w:tcPr>
            <w:tcW w:w="468" w:type="dxa"/>
            <w:vMerge w:val="continue"/>
          </w:tcPr>
          <w:p>
            <w:pPr>
              <w:widowControl/>
              <w:spacing w:line="240" w:lineRule="auto"/>
              <w:ind w:firstLine="0" w:firstLineChars="0"/>
              <w:jc w:val="left"/>
              <w:rPr>
                <w:rFonts w:ascii="宋体" w:hAnsi="宋体" w:eastAsia="宋体" w:cs="宋体"/>
                <w:color w:val="000000"/>
                <w:kern w:val="0"/>
                <w:sz w:val="21"/>
                <w:szCs w:val="21"/>
              </w:rPr>
            </w:pPr>
          </w:p>
        </w:tc>
        <w:tc>
          <w:tcPr>
            <w:tcW w:w="1361" w:type="dxa"/>
            <w:gridSpan w:val="2"/>
            <w:vAlign w:val="center"/>
          </w:tcPr>
          <w:p>
            <w:pPr>
              <w:widowControl/>
              <w:spacing w:line="240" w:lineRule="auto"/>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投融资、建设、运营管理经验</w:t>
            </w:r>
          </w:p>
        </w:tc>
        <w:tc>
          <w:tcPr>
            <w:tcW w:w="1001" w:type="dxa"/>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10分</w:t>
            </w:r>
          </w:p>
        </w:tc>
        <w:tc>
          <w:tcPr>
            <w:tcW w:w="1988" w:type="dxa"/>
            <w:gridSpan w:val="2"/>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投标人的高速公路投融资、建设、运营管理经验</w:t>
            </w:r>
          </w:p>
        </w:tc>
        <w:tc>
          <w:tcPr>
            <w:tcW w:w="709" w:type="dxa"/>
            <w:vAlign w:val="center"/>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10分</w:t>
            </w:r>
          </w:p>
        </w:tc>
        <w:tc>
          <w:tcPr>
            <w:tcW w:w="3386" w:type="dxa"/>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2008年1月1日至今在</w:t>
            </w:r>
            <w:r>
              <w:rPr>
                <w:rFonts w:ascii="宋体" w:hAnsi="宋体" w:eastAsia="宋体" w:cs="宋体"/>
                <w:color w:val="000000" w:themeColor="text1"/>
                <w:sz w:val="21"/>
                <w:szCs w:val="21"/>
                <w14:textFill>
                  <w14:solidFill>
                    <w14:schemeClr w14:val="tx1"/>
                  </w14:solidFill>
                </w14:textFill>
              </w:rPr>
              <w:t>国内</w:t>
            </w:r>
            <w:r>
              <w:rPr>
                <w:rFonts w:hint="eastAsia" w:ascii="宋体" w:hAnsi="宋体" w:eastAsia="宋体" w:cs="宋体"/>
                <w:color w:val="000000" w:themeColor="text1"/>
                <w:sz w:val="21"/>
                <w:szCs w:val="21"/>
                <w14:textFill>
                  <w14:solidFill>
                    <w14:schemeClr w14:val="tx1"/>
                  </w14:solidFill>
                </w14:textFill>
              </w:rPr>
              <w:t>参与完成1条高速公路投融资建设运营管理的，得</w:t>
            </w:r>
            <w:r>
              <w:rPr>
                <w:rFonts w:ascii="宋体" w:hAnsi="宋体" w:eastAsia="宋体" w:cs="宋体"/>
                <w:color w:val="000000" w:themeColor="text1"/>
                <w:sz w:val="21"/>
                <w:szCs w:val="21"/>
                <w14:textFill>
                  <w14:solidFill>
                    <w14:schemeClr w14:val="tx1"/>
                  </w14:solidFill>
                </w14:textFill>
              </w:rPr>
              <w:t>6</w:t>
            </w:r>
            <w:r>
              <w:rPr>
                <w:rFonts w:hint="eastAsia" w:ascii="宋体" w:hAnsi="宋体" w:eastAsia="宋体" w:cs="宋体"/>
                <w:color w:val="000000" w:themeColor="text1"/>
                <w:sz w:val="21"/>
                <w:szCs w:val="21"/>
                <w14:textFill>
                  <w14:solidFill>
                    <w14:schemeClr w14:val="tx1"/>
                  </w14:solidFill>
                </w14:textFill>
              </w:rPr>
              <w:t>分，每增加1条高速公路项目投融资、建设、运营管理业绩加</w:t>
            </w:r>
            <w:r>
              <w:rPr>
                <w:rFonts w:ascii="宋体" w:hAnsi="宋体" w:eastAsia="宋体" w:cs="宋体"/>
                <w:color w:val="000000" w:themeColor="text1"/>
                <w:sz w:val="21"/>
                <w:szCs w:val="21"/>
                <w14:textFill>
                  <w14:solidFill>
                    <w14:schemeClr w14:val="tx1"/>
                  </w14:solidFill>
                </w14:textFill>
              </w:rPr>
              <w:t>1</w:t>
            </w:r>
            <w:r>
              <w:rPr>
                <w:rFonts w:hint="eastAsia" w:ascii="宋体" w:hAnsi="宋体" w:eastAsia="宋体" w:cs="宋体"/>
                <w:color w:val="000000" w:themeColor="text1"/>
                <w:sz w:val="21"/>
                <w:szCs w:val="21"/>
                <w14:textFill>
                  <w14:solidFill>
                    <w14:schemeClr w14:val="tx1"/>
                  </w14:solidFill>
                </w14:textFill>
              </w:rPr>
              <w:t>分，最多加</w:t>
            </w:r>
            <w:r>
              <w:rPr>
                <w:rFonts w:ascii="宋体" w:hAnsi="宋体" w:eastAsia="宋体" w:cs="宋体"/>
                <w:color w:val="000000" w:themeColor="text1"/>
                <w:sz w:val="21"/>
                <w:szCs w:val="21"/>
                <w14:textFill>
                  <w14:solidFill>
                    <w14:schemeClr w14:val="tx1"/>
                  </w14:solidFill>
                </w14:textFill>
              </w:rPr>
              <w:t>4</w:t>
            </w:r>
            <w:r>
              <w:rPr>
                <w:rFonts w:hint="eastAsia" w:ascii="宋体" w:hAnsi="宋体" w:eastAsia="宋体" w:cs="宋体"/>
                <w:color w:val="000000" w:themeColor="text1"/>
                <w:sz w:val="21"/>
                <w:szCs w:val="21"/>
                <w14:textFill>
                  <w14:solidFill>
                    <w14:schemeClr w14:val="tx1"/>
                  </w14:solidFill>
                </w14:textFill>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8" w:hRule="atLeast"/>
        </w:trPr>
        <w:tc>
          <w:tcPr>
            <w:tcW w:w="468" w:type="dxa"/>
            <w:vMerge w:val="continue"/>
          </w:tcPr>
          <w:p>
            <w:pPr>
              <w:widowControl/>
              <w:spacing w:line="240" w:lineRule="auto"/>
              <w:ind w:firstLine="0" w:firstLineChars="0"/>
              <w:jc w:val="left"/>
              <w:rPr>
                <w:rFonts w:ascii="宋体" w:hAnsi="宋体" w:eastAsia="宋体" w:cs="宋体"/>
                <w:color w:val="000000"/>
                <w:kern w:val="0"/>
                <w:sz w:val="21"/>
                <w:szCs w:val="21"/>
              </w:rPr>
            </w:pPr>
          </w:p>
        </w:tc>
        <w:tc>
          <w:tcPr>
            <w:tcW w:w="661" w:type="dxa"/>
            <w:vMerge w:val="restart"/>
            <w:vAlign w:val="center"/>
          </w:tcPr>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p>
          <w:p>
            <w:pPr>
              <w:widowControl/>
              <w:spacing w:line="240" w:lineRule="auto"/>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方案</w:t>
            </w:r>
          </w:p>
        </w:tc>
        <w:tc>
          <w:tcPr>
            <w:tcW w:w="700" w:type="dxa"/>
            <w:vAlign w:val="center"/>
          </w:tcPr>
          <w:p>
            <w:pPr>
              <w:widowControl/>
              <w:spacing w:line="240" w:lineRule="auto"/>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项目公司组建方案</w:t>
            </w:r>
          </w:p>
        </w:tc>
        <w:tc>
          <w:tcPr>
            <w:tcW w:w="3698" w:type="dxa"/>
            <w:gridSpan w:val="4"/>
            <w:vAlign w:val="center"/>
          </w:tcPr>
          <w:p>
            <w:pPr>
              <w:widowControl/>
              <w:spacing w:line="240" w:lineRule="auto"/>
              <w:ind w:firstLine="0" w:firstLineChars="0"/>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3分</w:t>
            </w:r>
          </w:p>
        </w:tc>
        <w:tc>
          <w:tcPr>
            <w:tcW w:w="3386" w:type="dxa"/>
          </w:tcPr>
          <w:p>
            <w:pPr>
              <w:widowControl/>
              <w:spacing w:line="240" w:lineRule="auto"/>
              <w:ind w:firstLine="0" w:firstLineChars="0"/>
              <w:rPr>
                <w:rFonts w:ascii="宋体" w:hAnsi="宋体" w:eastAsia="宋体" w:cs="宋体"/>
                <w:color w:val="000000" w:themeColor="text1"/>
                <w:sz w:val="21"/>
                <w:szCs w:val="21"/>
                <w:lang w:val="zh-CN"/>
                <w14:textFill>
                  <w14:solidFill>
                    <w14:schemeClr w14:val="tx1"/>
                  </w14:solidFill>
                </w14:textFill>
              </w:rPr>
            </w:pPr>
            <w:r>
              <w:rPr>
                <w:rFonts w:hint="eastAsia" w:ascii="宋体" w:hAnsi="宋体" w:eastAsia="宋体" w:cs="宋体"/>
                <w:color w:val="000000" w:themeColor="text1"/>
                <w:sz w:val="21"/>
                <w:szCs w:val="21"/>
                <w:lang w:val="zh-CN"/>
                <w14:textFill>
                  <w14:solidFill>
                    <w14:schemeClr w14:val="tx1"/>
                  </w14:solidFill>
                </w14:textFill>
              </w:rPr>
              <w:t>项目公司组建方案有效性、可行性、操作性一般的得1.8分，较好的得1.8-2.4分，好的得2.4-3分。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6" w:hRule="atLeast"/>
        </w:trPr>
        <w:tc>
          <w:tcPr>
            <w:tcW w:w="468" w:type="dxa"/>
            <w:vMerge w:val="continue"/>
          </w:tcPr>
          <w:p>
            <w:pPr>
              <w:widowControl/>
              <w:spacing w:line="240" w:lineRule="auto"/>
              <w:ind w:firstLine="0" w:firstLineChars="0"/>
              <w:jc w:val="left"/>
              <w:rPr>
                <w:rFonts w:ascii="宋体" w:hAnsi="宋体" w:eastAsia="宋体" w:cs="宋体"/>
                <w:color w:val="000000"/>
                <w:kern w:val="0"/>
                <w:sz w:val="21"/>
                <w:szCs w:val="21"/>
              </w:rPr>
            </w:pPr>
          </w:p>
        </w:tc>
        <w:tc>
          <w:tcPr>
            <w:tcW w:w="661" w:type="dxa"/>
            <w:vMerge w:val="continue"/>
            <w:vAlign w:val="center"/>
          </w:tcPr>
          <w:p>
            <w:pPr>
              <w:widowControl/>
              <w:spacing w:line="240" w:lineRule="auto"/>
              <w:ind w:firstLine="0" w:firstLineChars="0"/>
              <w:jc w:val="left"/>
              <w:rPr>
                <w:rFonts w:ascii="宋体" w:hAnsi="宋体" w:eastAsia="宋体" w:cs="宋体"/>
                <w:color w:val="000000"/>
                <w:kern w:val="0"/>
                <w:sz w:val="21"/>
                <w:szCs w:val="21"/>
              </w:rPr>
            </w:pPr>
          </w:p>
        </w:tc>
        <w:tc>
          <w:tcPr>
            <w:tcW w:w="700" w:type="dxa"/>
            <w:vMerge w:val="restart"/>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项目建设方案</w:t>
            </w:r>
          </w:p>
        </w:tc>
        <w:tc>
          <w:tcPr>
            <w:tcW w:w="1134" w:type="dxa"/>
            <w:gridSpan w:val="2"/>
            <w:vMerge w:val="restart"/>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8分</w:t>
            </w:r>
          </w:p>
        </w:tc>
        <w:tc>
          <w:tcPr>
            <w:tcW w:w="1855" w:type="dxa"/>
            <w:vAlign w:val="center"/>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工程质量目标及保障措施</w:t>
            </w:r>
          </w:p>
        </w:tc>
        <w:tc>
          <w:tcPr>
            <w:tcW w:w="709" w:type="dxa"/>
            <w:vAlign w:val="center"/>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2分</w:t>
            </w:r>
          </w:p>
        </w:tc>
        <w:tc>
          <w:tcPr>
            <w:tcW w:w="3386" w:type="dxa"/>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承诺达到目标得1.2分，根据质量保障措施的有效性、可行性、操作性最多加0.8分。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4" w:hRule="atLeast"/>
        </w:trPr>
        <w:tc>
          <w:tcPr>
            <w:tcW w:w="468" w:type="dxa"/>
            <w:vMerge w:val="continue"/>
          </w:tcPr>
          <w:p>
            <w:pPr>
              <w:widowControl/>
              <w:spacing w:line="240" w:lineRule="auto"/>
              <w:ind w:firstLine="0" w:firstLineChars="0"/>
              <w:jc w:val="left"/>
              <w:rPr>
                <w:rFonts w:ascii="宋体" w:hAnsi="宋体" w:eastAsia="宋体" w:cs="宋体"/>
                <w:color w:val="000000"/>
                <w:kern w:val="0"/>
                <w:sz w:val="21"/>
                <w:szCs w:val="21"/>
              </w:rPr>
            </w:pPr>
          </w:p>
        </w:tc>
        <w:tc>
          <w:tcPr>
            <w:tcW w:w="661" w:type="dxa"/>
            <w:vMerge w:val="continue"/>
            <w:vAlign w:val="center"/>
          </w:tcPr>
          <w:p>
            <w:pPr>
              <w:widowControl/>
              <w:spacing w:line="240" w:lineRule="auto"/>
              <w:ind w:firstLine="0" w:firstLineChars="0"/>
              <w:jc w:val="left"/>
              <w:rPr>
                <w:rFonts w:ascii="宋体" w:hAnsi="宋体" w:eastAsia="宋体" w:cs="宋体"/>
                <w:color w:val="000000"/>
                <w:kern w:val="0"/>
                <w:sz w:val="21"/>
                <w:szCs w:val="21"/>
              </w:rPr>
            </w:pPr>
          </w:p>
        </w:tc>
        <w:tc>
          <w:tcPr>
            <w:tcW w:w="700" w:type="dxa"/>
            <w:vMerge w:val="continue"/>
            <w:vAlign w:val="center"/>
          </w:tcPr>
          <w:p>
            <w:pPr>
              <w:widowControl/>
              <w:spacing w:line="240" w:lineRule="auto"/>
              <w:ind w:firstLine="0" w:firstLineChars="0"/>
              <w:jc w:val="left"/>
              <w:rPr>
                <w:rFonts w:ascii="宋体" w:hAnsi="宋体" w:eastAsia="宋体" w:cs="宋体"/>
                <w:color w:val="000000"/>
                <w:kern w:val="0"/>
                <w:sz w:val="21"/>
                <w:szCs w:val="21"/>
              </w:rPr>
            </w:pPr>
          </w:p>
        </w:tc>
        <w:tc>
          <w:tcPr>
            <w:tcW w:w="1134" w:type="dxa"/>
            <w:gridSpan w:val="2"/>
            <w:vMerge w:val="continue"/>
            <w:vAlign w:val="center"/>
          </w:tcPr>
          <w:p>
            <w:pPr>
              <w:widowControl/>
              <w:spacing w:line="240" w:lineRule="auto"/>
              <w:ind w:firstLine="0" w:firstLineChars="0"/>
              <w:jc w:val="center"/>
              <w:rPr>
                <w:rFonts w:ascii="宋体" w:hAnsi="宋体" w:eastAsia="宋体" w:cs="宋体"/>
                <w:color w:val="000000"/>
                <w:kern w:val="0"/>
                <w:sz w:val="21"/>
                <w:szCs w:val="21"/>
              </w:rPr>
            </w:pPr>
          </w:p>
        </w:tc>
        <w:tc>
          <w:tcPr>
            <w:tcW w:w="1855" w:type="dxa"/>
            <w:vAlign w:val="center"/>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工程实施进度及保障措施</w:t>
            </w:r>
          </w:p>
        </w:tc>
        <w:tc>
          <w:tcPr>
            <w:tcW w:w="709" w:type="dxa"/>
            <w:vAlign w:val="center"/>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2分</w:t>
            </w:r>
          </w:p>
        </w:tc>
        <w:tc>
          <w:tcPr>
            <w:tcW w:w="3386" w:type="dxa"/>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承诺达到目标得1.2分，根据保障措施的有效性、可行性、操作性最多加0.8分。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5" w:hRule="atLeast"/>
        </w:trPr>
        <w:tc>
          <w:tcPr>
            <w:tcW w:w="468" w:type="dxa"/>
            <w:vMerge w:val="continue"/>
          </w:tcPr>
          <w:p>
            <w:pPr>
              <w:widowControl/>
              <w:spacing w:line="240" w:lineRule="auto"/>
              <w:ind w:firstLine="0" w:firstLineChars="0"/>
              <w:jc w:val="left"/>
              <w:rPr>
                <w:rFonts w:ascii="宋体" w:hAnsi="宋体" w:eastAsia="宋体" w:cs="宋体"/>
                <w:color w:val="000000"/>
                <w:kern w:val="0"/>
                <w:sz w:val="21"/>
                <w:szCs w:val="21"/>
              </w:rPr>
            </w:pPr>
          </w:p>
        </w:tc>
        <w:tc>
          <w:tcPr>
            <w:tcW w:w="661" w:type="dxa"/>
            <w:vMerge w:val="continue"/>
            <w:vAlign w:val="center"/>
          </w:tcPr>
          <w:p>
            <w:pPr>
              <w:widowControl/>
              <w:spacing w:line="240" w:lineRule="auto"/>
              <w:ind w:firstLine="0" w:firstLineChars="0"/>
              <w:jc w:val="left"/>
              <w:rPr>
                <w:rFonts w:ascii="宋体" w:hAnsi="宋体" w:eastAsia="宋体" w:cs="宋体"/>
                <w:color w:val="000000"/>
                <w:kern w:val="0"/>
                <w:sz w:val="21"/>
                <w:szCs w:val="21"/>
              </w:rPr>
            </w:pPr>
          </w:p>
        </w:tc>
        <w:tc>
          <w:tcPr>
            <w:tcW w:w="700" w:type="dxa"/>
            <w:vMerge w:val="continue"/>
            <w:vAlign w:val="center"/>
          </w:tcPr>
          <w:p>
            <w:pPr>
              <w:widowControl/>
              <w:spacing w:line="240" w:lineRule="auto"/>
              <w:ind w:firstLine="0" w:firstLineChars="0"/>
              <w:jc w:val="left"/>
              <w:rPr>
                <w:rFonts w:ascii="宋体" w:hAnsi="宋体" w:eastAsia="宋体" w:cs="宋体"/>
                <w:color w:val="000000"/>
                <w:kern w:val="0"/>
                <w:sz w:val="21"/>
                <w:szCs w:val="21"/>
              </w:rPr>
            </w:pPr>
          </w:p>
        </w:tc>
        <w:tc>
          <w:tcPr>
            <w:tcW w:w="1134" w:type="dxa"/>
            <w:gridSpan w:val="2"/>
            <w:vMerge w:val="continue"/>
            <w:vAlign w:val="center"/>
          </w:tcPr>
          <w:p>
            <w:pPr>
              <w:widowControl/>
              <w:spacing w:line="240" w:lineRule="auto"/>
              <w:ind w:firstLine="0" w:firstLineChars="0"/>
              <w:jc w:val="center"/>
              <w:rPr>
                <w:rFonts w:ascii="宋体" w:hAnsi="宋体" w:eastAsia="宋体" w:cs="宋体"/>
                <w:color w:val="000000"/>
                <w:kern w:val="0"/>
                <w:sz w:val="21"/>
                <w:szCs w:val="21"/>
              </w:rPr>
            </w:pPr>
          </w:p>
        </w:tc>
        <w:tc>
          <w:tcPr>
            <w:tcW w:w="1855" w:type="dxa"/>
            <w:vAlign w:val="center"/>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工程安全目标及保障措施</w:t>
            </w:r>
          </w:p>
        </w:tc>
        <w:tc>
          <w:tcPr>
            <w:tcW w:w="709" w:type="dxa"/>
            <w:vAlign w:val="center"/>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2分</w:t>
            </w:r>
          </w:p>
        </w:tc>
        <w:tc>
          <w:tcPr>
            <w:tcW w:w="3386" w:type="dxa"/>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承诺达到目标得1.2分，根据保障措施的有效性、可行性、操作性最多加0.8分。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trPr>
        <w:tc>
          <w:tcPr>
            <w:tcW w:w="468" w:type="dxa"/>
            <w:vMerge w:val="continue"/>
          </w:tcPr>
          <w:p>
            <w:pPr>
              <w:widowControl/>
              <w:spacing w:line="240" w:lineRule="auto"/>
              <w:ind w:firstLine="0" w:firstLineChars="0"/>
              <w:jc w:val="left"/>
              <w:rPr>
                <w:rFonts w:ascii="宋体" w:hAnsi="宋体" w:eastAsia="宋体" w:cs="宋体"/>
                <w:color w:val="000000"/>
                <w:kern w:val="0"/>
                <w:sz w:val="21"/>
                <w:szCs w:val="21"/>
              </w:rPr>
            </w:pPr>
          </w:p>
        </w:tc>
        <w:tc>
          <w:tcPr>
            <w:tcW w:w="661" w:type="dxa"/>
            <w:vMerge w:val="continue"/>
            <w:vAlign w:val="center"/>
          </w:tcPr>
          <w:p>
            <w:pPr>
              <w:widowControl/>
              <w:spacing w:line="240" w:lineRule="auto"/>
              <w:ind w:firstLine="0" w:firstLineChars="0"/>
              <w:jc w:val="left"/>
              <w:rPr>
                <w:rFonts w:ascii="宋体" w:hAnsi="宋体" w:eastAsia="宋体" w:cs="宋体"/>
                <w:color w:val="000000"/>
                <w:kern w:val="0"/>
                <w:sz w:val="21"/>
                <w:szCs w:val="21"/>
              </w:rPr>
            </w:pPr>
          </w:p>
        </w:tc>
        <w:tc>
          <w:tcPr>
            <w:tcW w:w="700" w:type="dxa"/>
            <w:vMerge w:val="continue"/>
            <w:vAlign w:val="center"/>
          </w:tcPr>
          <w:p>
            <w:pPr>
              <w:widowControl/>
              <w:spacing w:line="240" w:lineRule="auto"/>
              <w:ind w:firstLine="0" w:firstLineChars="0"/>
              <w:jc w:val="left"/>
              <w:rPr>
                <w:rFonts w:ascii="宋体" w:hAnsi="宋体" w:eastAsia="宋体" w:cs="宋体"/>
                <w:color w:val="000000"/>
                <w:kern w:val="0"/>
                <w:sz w:val="21"/>
                <w:szCs w:val="21"/>
              </w:rPr>
            </w:pPr>
          </w:p>
        </w:tc>
        <w:tc>
          <w:tcPr>
            <w:tcW w:w="1134" w:type="dxa"/>
            <w:gridSpan w:val="2"/>
            <w:vMerge w:val="continue"/>
            <w:vAlign w:val="center"/>
          </w:tcPr>
          <w:p>
            <w:pPr>
              <w:widowControl/>
              <w:spacing w:line="240" w:lineRule="auto"/>
              <w:ind w:firstLine="0" w:firstLineChars="0"/>
              <w:jc w:val="center"/>
              <w:rPr>
                <w:rFonts w:ascii="宋体" w:hAnsi="宋体" w:eastAsia="宋体" w:cs="宋体"/>
                <w:color w:val="000000"/>
                <w:kern w:val="0"/>
                <w:sz w:val="21"/>
                <w:szCs w:val="21"/>
              </w:rPr>
            </w:pPr>
          </w:p>
        </w:tc>
        <w:tc>
          <w:tcPr>
            <w:tcW w:w="1855" w:type="dxa"/>
            <w:vAlign w:val="center"/>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投资控制目标及保障措施</w:t>
            </w:r>
          </w:p>
        </w:tc>
        <w:tc>
          <w:tcPr>
            <w:tcW w:w="709" w:type="dxa"/>
            <w:vAlign w:val="center"/>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1分</w:t>
            </w:r>
          </w:p>
        </w:tc>
        <w:tc>
          <w:tcPr>
            <w:tcW w:w="3386" w:type="dxa"/>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承诺达到目标得0.6分，根据保障措施的有效性、可行性、操作性最多加0.4分。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7" w:hRule="atLeast"/>
        </w:trPr>
        <w:tc>
          <w:tcPr>
            <w:tcW w:w="468" w:type="dxa"/>
            <w:vMerge w:val="continue"/>
          </w:tcPr>
          <w:p>
            <w:pPr>
              <w:widowControl/>
              <w:spacing w:line="240" w:lineRule="auto"/>
              <w:ind w:firstLine="0" w:firstLineChars="0"/>
              <w:jc w:val="left"/>
              <w:rPr>
                <w:rFonts w:ascii="宋体" w:hAnsi="宋体" w:eastAsia="宋体" w:cs="宋体"/>
                <w:color w:val="000000"/>
                <w:kern w:val="0"/>
                <w:sz w:val="21"/>
                <w:szCs w:val="21"/>
              </w:rPr>
            </w:pPr>
          </w:p>
        </w:tc>
        <w:tc>
          <w:tcPr>
            <w:tcW w:w="661" w:type="dxa"/>
            <w:vMerge w:val="continue"/>
            <w:vAlign w:val="center"/>
          </w:tcPr>
          <w:p>
            <w:pPr>
              <w:widowControl/>
              <w:spacing w:line="240" w:lineRule="auto"/>
              <w:ind w:firstLine="0" w:firstLineChars="0"/>
              <w:jc w:val="left"/>
              <w:rPr>
                <w:rFonts w:ascii="宋体" w:hAnsi="宋体" w:eastAsia="宋体" w:cs="宋体"/>
                <w:color w:val="000000"/>
                <w:kern w:val="0"/>
                <w:sz w:val="21"/>
                <w:szCs w:val="21"/>
              </w:rPr>
            </w:pPr>
          </w:p>
        </w:tc>
        <w:tc>
          <w:tcPr>
            <w:tcW w:w="700" w:type="dxa"/>
            <w:vMerge w:val="continue"/>
            <w:vAlign w:val="center"/>
          </w:tcPr>
          <w:p>
            <w:pPr>
              <w:widowControl/>
              <w:spacing w:line="240" w:lineRule="auto"/>
              <w:ind w:firstLine="0" w:firstLineChars="0"/>
              <w:jc w:val="left"/>
              <w:rPr>
                <w:rFonts w:ascii="宋体" w:hAnsi="宋体" w:eastAsia="宋体" w:cs="宋体"/>
                <w:color w:val="000000"/>
                <w:kern w:val="0"/>
                <w:sz w:val="21"/>
                <w:szCs w:val="21"/>
              </w:rPr>
            </w:pPr>
          </w:p>
        </w:tc>
        <w:tc>
          <w:tcPr>
            <w:tcW w:w="1134" w:type="dxa"/>
            <w:gridSpan w:val="2"/>
            <w:vMerge w:val="continue"/>
            <w:vAlign w:val="center"/>
          </w:tcPr>
          <w:p>
            <w:pPr>
              <w:widowControl/>
              <w:spacing w:line="240" w:lineRule="auto"/>
              <w:ind w:firstLine="0" w:firstLineChars="0"/>
              <w:jc w:val="center"/>
              <w:rPr>
                <w:rFonts w:ascii="宋体" w:hAnsi="宋体" w:eastAsia="宋体" w:cs="宋体"/>
                <w:color w:val="000000"/>
                <w:kern w:val="0"/>
                <w:sz w:val="21"/>
                <w:szCs w:val="21"/>
              </w:rPr>
            </w:pPr>
          </w:p>
        </w:tc>
        <w:tc>
          <w:tcPr>
            <w:tcW w:w="1855" w:type="dxa"/>
            <w:vAlign w:val="center"/>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环境保护与水保措施</w:t>
            </w:r>
          </w:p>
        </w:tc>
        <w:tc>
          <w:tcPr>
            <w:tcW w:w="709" w:type="dxa"/>
            <w:vAlign w:val="center"/>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1分</w:t>
            </w:r>
          </w:p>
        </w:tc>
        <w:tc>
          <w:tcPr>
            <w:tcW w:w="3386" w:type="dxa"/>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承诺达到目标得0.6分，根据保障措施的有效性、可行性、操作性最多加0.4分。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4" w:hRule="atLeast"/>
        </w:trPr>
        <w:tc>
          <w:tcPr>
            <w:tcW w:w="468" w:type="dxa"/>
            <w:vMerge w:val="continue"/>
          </w:tcPr>
          <w:p>
            <w:pPr>
              <w:widowControl/>
              <w:spacing w:line="240" w:lineRule="auto"/>
              <w:ind w:firstLine="0" w:firstLineChars="0"/>
              <w:jc w:val="left"/>
              <w:rPr>
                <w:rFonts w:ascii="宋体" w:hAnsi="宋体" w:eastAsia="宋体" w:cs="宋体"/>
                <w:color w:val="000000"/>
                <w:kern w:val="0"/>
                <w:sz w:val="21"/>
                <w:szCs w:val="21"/>
              </w:rPr>
            </w:pPr>
          </w:p>
        </w:tc>
        <w:tc>
          <w:tcPr>
            <w:tcW w:w="661" w:type="dxa"/>
            <w:vMerge w:val="continue"/>
            <w:vAlign w:val="center"/>
          </w:tcPr>
          <w:p>
            <w:pPr>
              <w:widowControl/>
              <w:spacing w:line="240" w:lineRule="auto"/>
              <w:ind w:firstLine="0" w:firstLineChars="0"/>
              <w:jc w:val="left"/>
              <w:rPr>
                <w:rFonts w:ascii="宋体" w:hAnsi="宋体" w:eastAsia="宋体" w:cs="宋体"/>
                <w:color w:val="000000"/>
                <w:kern w:val="0"/>
                <w:sz w:val="21"/>
                <w:szCs w:val="21"/>
              </w:rPr>
            </w:pPr>
          </w:p>
        </w:tc>
        <w:tc>
          <w:tcPr>
            <w:tcW w:w="700" w:type="dxa"/>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项目运营方案</w:t>
            </w:r>
          </w:p>
        </w:tc>
        <w:tc>
          <w:tcPr>
            <w:tcW w:w="1134" w:type="dxa"/>
            <w:gridSpan w:val="2"/>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6分</w:t>
            </w:r>
          </w:p>
        </w:tc>
        <w:tc>
          <w:tcPr>
            <w:tcW w:w="1855" w:type="dxa"/>
            <w:vAlign w:val="center"/>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运营养护目标及保障措施</w:t>
            </w:r>
          </w:p>
        </w:tc>
        <w:tc>
          <w:tcPr>
            <w:tcW w:w="709" w:type="dxa"/>
            <w:vAlign w:val="center"/>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6分</w:t>
            </w:r>
          </w:p>
        </w:tc>
        <w:tc>
          <w:tcPr>
            <w:tcW w:w="3386" w:type="dxa"/>
          </w:tcPr>
          <w:p>
            <w:pPr>
              <w:widowControl/>
              <w:spacing w:line="240" w:lineRule="auto"/>
              <w:ind w:firstLine="0" w:firstLineChars="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承诺达到目标得3.6分，根据保障措施的有效性、可行性、操作性最多加2.4分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1" w:hRule="atLeast"/>
        </w:trPr>
        <w:tc>
          <w:tcPr>
            <w:tcW w:w="468" w:type="dxa"/>
            <w:vMerge w:val="continue"/>
          </w:tcPr>
          <w:p>
            <w:pPr>
              <w:widowControl/>
              <w:spacing w:line="240" w:lineRule="auto"/>
              <w:ind w:firstLine="0" w:firstLineChars="0"/>
              <w:jc w:val="left"/>
              <w:rPr>
                <w:rFonts w:ascii="宋体" w:hAnsi="宋体" w:eastAsia="宋体" w:cs="宋体"/>
                <w:color w:val="000000"/>
                <w:kern w:val="0"/>
                <w:sz w:val="21"/>
                <w:szCs w:val="21"/>
              </w:rPr>
            </w:pPr>
          </w:p>
        </w:tc>
        <w:tc>
          <w:tcPr>
            <w:tcW w:w="661" w:type="dxa"/>
            <w:vMerge w:val="continue"/>
            <w:vAlign w:val="center"/>
          </w:tcPr>
          <w:p>
            <w:pPr>
              <w:widowControl/>
              <w:spacing w:line="240" w:lineRule="auto"/>
              <w:ind w:firstLine="0" w:firstLineChars="0"/>
              <w:jc w:val="left"/>
              <w:rPr>
                <w:rFonts w:ascii="宋体" w:hAnsi="宋体" w:eastAsia="宋体" w:cs="宋体"/>
                <w:color w:val="000000"/>
                <w:kern w:val="0"/>
                <w:sz w:val="21"/>
                <w:szCs w:val="21"/>
              </w:rPr>
            </w:pPr>
          </w:p>
        </w:tc>
        <w:tc>
          <w:tcPr>
            <w:tcW w:w="700" w:type="dxa"/>
            <w:vAlign w:val="center"/>
          </w:tcPr>
          <w:p>
            <w:pPr>
              <w:widowControl/>
              <w:spacing w:line="240" w:lineRule="auto"/>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移交方案</w:t>
            </w:r>
          </w:p>
        </w:tc>
        <w:tc>
          <w:tcPr>
            <w:tcW w:w="3698" w:type="dxa"/>
            <w:gridSpan w:val="4"/>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3分</w:t>
            </w:r>
          </w:p>
        </w:tc>
        <w:tc>
          <w:tcPr>
            <w:tcW w:w="3386" w:type="dxa"/>
            <w:vAlign w:val="center"/>
          </w:tcPr>
          <w:p>
            <w:pPr>
              <w:widowControl/>
              <w:spacing w:line="240" w:lineRule="auto"/>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移交标准满足招标文件要求的得1.8分，移交方案操作性强，科学合理的最多加1.2分。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1" w:hRule="atLeast"/>
        </w:trPr>
        <w:tc>
          <w:tcPr>
            <w:tcW w:w="468" w:type="dxa"/>
            <w:vMerge w:val="continue"/>
          </w:tcPr>
          <w:p>
            <w:pPr>
              <w:widowControl/>
              <w:spacing w:line="240" w:lineRule="auto"/>
              <w:ind w:firstLine="0" w:firstLineChars="0"/>
              <w:jc w:val="left"/>
              <w:rPr>
                <w:rFonts w:ascii="宋体" w:hAnsi="宋体" w:eastAsia="宋体" w:cs="宋体"/>
                <w:color w:val="000000"/>
                <w:kern w:val="0"/>
                <w:sz w:val="21"/>
                <w:szCs w:val="21"/>
              </w:rPr>
            </w:pPr>
          </w:p>
        </w:tc>
        <w:tc>
          <w:tcPr>
            <w:tcW w:w="1361" w:type="dxa"/>
            <w:gridSpan w:val="2"/>
            <w:vAlign w:val="center"/>
          </w:tcPr>
          <w:p>
            <w:pPr>
              <w:widowControl/>
              <w:spacing w:line="240" w:lineRule="auto"/>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商业信誉</w:t>
            </w:r>
          </w:p>
        </w:tc>
        <w:tc>
          <w:tcPr>
            <w:tcW w:w="3698" w:type="dxa"/>
            <w:gridSpan w:val="4"/>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5分</w:t>
            </w:r>
          </w:p>
        </w:tc>
        <w:tc>
          <w:tcPr>
            <w:tcW w:w="3386" w:type="dxa"/>
            <w:vAlign w:val="center"/>
          </w:tcPr>
          <w:p>
            <w:pPr>
              <w:widowControl/>
              <w:spacing w:line="240" w:lineRule="auto"/>
              <w:ind w:firstLine="0" w:firstLineChars="0"/>
              <w:rPr>
                <w:rFonts w:ascii="宋体" w:hAnsi="宋体" w:eastAsia="宋体" w:cs="宋体"/>
                <w:color w:val="000000"/>
                <w:kern w:val="0"/>
                <w:sz w:val="21"/>
                <w:szCs w:val="21"/>
              </w:rPr>
            </w:pPr>
            <w:r>
              <w:rPr>
                <w:rFonts w:hint="eastAsia" w:ascii="宋体" w:hAnsi="宋体" w:eastAsia="宋体" w:cs="宋体"/>
                <w:color w:val="000000" w:themeColor="text1"/>
                <w:sz w:val="21"/>
                <w:szCs w:val="21"/>
                <w14:textFill>
                  <w14:solidFill>
                    <w14:schemeClr w14:val="tx1"/>
                  </w14:solidFill>
                </w14:textFill>
              </w:rPr>
              <w:t>未被省级及以上交通运输主管部门取消项目所在地的投标资格或禁止进入该区域公路建设市场的，得3分；2013年以来（含）投标人每获得国家级（高速公路国家优质工程奖、“詹天佑”、“鲁班”奖）奖项一项得1分，最高得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0" w:hRule="atLeast"/>
        </w:trPr>
        <w:tc>
          <w:tcPr>
            <w:tcW w:w="468" w:type="dxa"/>
            <w:vMerge w:val="continue"/>
          </w:tcPr>
          <w:p>
            <w:pPr>
              <w:widowControl/>
              <w:spacing w:line="240" w:lineRule="auto"/>
              <w:ind w:firstLine="0" w:firstLineChars="0"/>
              <w:jc w:val="left"/>
              <w:rPr>
                <w:rFonts w:ascii="宋体" w:hAnsi="宋体" w:eastAsia="宋体" w:cs="宋体"/>
                <w:color w:val="000000"/>
                <w:kern w:val="0"/>
                <w:sz w:val="21"/>
                <w:szCs w:val="21"/>
              </w:rPr>
            </w:pPr>
          </w:p>
        </w:tc>
        <w:tc>
          <w:tcPr>
            <w:tcW w:w="1361" w:type="dxa"/>
            <w:gridSpan w:val="2"/>
            <w:vAlign w:val="center"/>
          </w:tcPr>
          <w:p>
            <w:pPr>
              <w:widowControl/>
              <w:spacing w:line="240" w:lineRule="auto"/>
              <w:ind w:firstLine="0" w:firstLineChars="0"/>
              <w:jc w:val="left"/>
              <w:rPr>
                <w:rFonts w:ascii="宋体" w:hAnsi="宋体" w:eastAsia="宋体" w:cs="宋体"/>
                <w:color w:val="000000"/>
                <w:kern w:val="0"/>
                <w:sz w:val="21"/>
                <w:szCs w:val="21"/>
              </w:rPr>
            </w:pPr>
            <w:r>
              <w:rPr>
                <w:rFonts w:hint="eastAsia" w:ascii="宋体" w:hAnsi="宋体" w:eastAsia="宋体" w:cs="宋体"/>
                <w:color w:val="000000"/>
                <w:kern w:val="0"/>
                <w:sz w:val="21"/>
                <w:szCs w:val="21"/>
              </w:rPr>
              <w:t>特许经营期运营期年限</w:t>
            </w:r>
          </w:p>
        </w:tc>
        <w:tc>
          <w:tcPr>
            <w:tcW w:w="3698" w:type="dxa"/>
            <w:gridSpan w:val="4"/>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35分</w:t>
            </w:r>
          </w:p>
        </w:tc>
        <w:tc>
          <w:tcPr>
            <w:tcW w:w="3386" w:type="dxa"/>
            <w:vAlign w:val="center"/>
          </w:tcPr>
          <w:p>
            <w:pPr>
              <w:widowControl/>
              <w:spacing w:line="240" w:lineRule="auto"/>
              <w:ind w:firstLine="0" w:firstLineChars="0"/>
              <w:rPr>
                <w:rFonts w:ascii="宋体" w:hAnsi="宋体" w:eastAsia="宋体" w:cs="宋体"/>
                <w:color w:val="000000"/>
                <w:kern w:val="0"/>
                <w:sz w:val="21"/>
                <w:szCs w:val="21"/>
              </w:rPr>
            </w:pPr>
            <w:r>
              <w:rPr>
                <w:rFonts w:hint="eastAsia" w:ascii="宋体" w:hAnsi="宋体" w:eastAsia="宋体" w:cs="宋体"/>
                <w:color w:val="000000"/>
                <w:kern w:val="0"/>
                <w:sz w:val="21"/>
                <w:szCs w:val="21"/>
              </w:rPr>
              <w:t>详见下款特许经营期运营期年限评分标准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3" w:hRule="atLeast"/>
        </w:trPr>
        <w:tc>
          <w:tcPr>
            <w:tcW w:w="1829" w:type="dxa"/>
            <w:gridSpan w:val="3"/>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评标结果</w:t>
            </w:r>
          </w:p>
        </w:tc>
        <w:tc>
          <w:tcPr>
            <w:tcW w:w="7084" w:type="dxa"/>
            <w:gridSpan w:val="5"/>
            <w:vAlign w:val="center"/>
          </w:tcPr>
          <w:p>
            <w:pPr>
              <w:widowControl/>
              <w:spacing w:line="240" w:lineRule="auto"/>
              <w:ind w:firstLine="0" w:firstLineChars="0"/>
              <w:jc w:val="center"/>
              <w:rPr>
                <w:rFonts w:ascii="宋体" w:hAnsi="宋体" w:eastAsia="宋体" w:cs="宋体"/>
                <w:color w:val="000000"/>
                <w:kern w:val="0"/>
                <w:sz w:val="21"/>
                <w:szCs w:val="21"/>
              </w:rPr>
            </w:pPr>
            <w:r>
              <w:rPr>
                <w:rFonts w:hint="eastAsia" w:ascii="宋体" w:hAnsi="宋体" w:eastAsia="宋体" w:cs="宋体"/>
                <w:color w:val="000000"/>
                <w:kern w:val="0"/>
                <w:sz w:val="21"/>
                <w:szCs w:val="21"/>
              </w:rPr>
              <w:t>推荐的中标候选人的人数为</w:t>
            </w:r>
            <w:r>
              <w:rPr>
                <w:rFonts w:hint="eastAsia" w:ascii="宋体" w:hAnsi="宋体" w:eastAsia="宋体" w:cs="宋体"/>
                <w:color w:val="000000"/>
                <w:kern w:val="0"/>
                <w:sz w:val="21"/>
                <w:szCs w:val="21"/>
                <w:u w:val="single"/>
              </w:rPr>
              <w:t>3</w:t>
            </w:r>
            <w:r>
              <w:rPr>
                <w:rFonts w:hint="eastAsia" w:ascii="宋体" w:hAnsi="宋体" w:eastAsia="宋体" w:cs="宋体"/>
                <w:color w:val="000000"/>
                <w:kern w:val="0"/>
                <w:sz w:val="21"/>
                <w:szCs w:val="21"/>
              </w:rPr>
              <w:t>名</w:t>
            </w:r>
          </w:p>
        </w:tc>
      </w:tr>
    </w:tbl>
    <w:p>
      <w:pPr>
        <w:spacing w:line="312" w:lineRule="auto"/>
        <w:ind w:firstLine="560"/>
        <w:rPr>
          <w:rFonts w:cs="Times New Roman"/>
          <w:sz w:val="28"/>
          <w:szCs w:val="28"/>
        </w:rPr>
      </w:pPr>
      <w:bookmarkStart w:id="3" w:name="OLE_LINK6"/>
      <w:r>
        <w:rPr>
          <w:rFonts w:hint="eastAsia" w:cs="Times New Roman"/>
          <w:sz w:val="28"/>
          <w:szCs w:val="28"/>
        </w:rPr>
        <w:t>其中：</w:t>
      </w:r>
      <w:r>
        <w:rPr>
          <w:rFonts w:cs="Times New Roman"/>
          <w:sz w:val="28"/>
          <w:szCs w:val="28"/>
        </w:rPr>
        <w:t>特许经营期</w:t>
      </w:r>
      <w:bookmarkEnd w:id="3"/>
      <w:r>
        <w:rPr>
          <w:rFonts w:cs="Times New Roman"/>
          <w:sz w:val="28"/>
          <w:szCs w:val="28"/>
        </w:rPr>
        <w:t>运营期年限评分标准</w:t>
      </w:r>
      <w:r>
        <w:rPr>
          <w:rFonts w:hint="eastAsia" w:cs="Times New Roman"/>
          <w:sz w:val="28"/>
          <w:szCs w:val="28"/>
        </w:rPr>
        <w:t>（35分</w:t>
      </w:r>
      <w:r>
        <w:rPr>
          <w:rFonts w:cs="Times New Roman"/>
          <w:sz w:val="28"/>
          <w:szCs w:val="28"/>
        </w:rPr>
        <w:t>）</w:t>
      </w:r>
    </w:p>
    <w:p>
      <w:pPr>
        <w:spacing w:line="312" w:lineRule="auto"/>
        <w:ind w:firstLine="560"/>
        <w:rPr>
          <w:rFonts w:cs="Times New Roman"/>
          <w:sz w:val="28"/>
          <w:szCs w:val="28"/>
        </w:rPr>
      </w:pPr>
      <w:r>
        <w:rPr>
          <w:rFonts w:hint="eastAsia" w:cs="Times New Roman"/>
          <w:sz w:val="28"/>
          <w:szCs w:val="28"/>
        </w:rPr>
        <w:t>（1）评标年限Di：</w:t>
      </w:r>
    </w:p>
    <w:p>
      <w:pPr>
        <w:spacing w:line="312" w:lineRule="auto"/>
        <w:ind w:firstLine="560"/>
        <w:rPr>
          <w:rFonts w:cs="Times New Roman"/>
          <w:sz w:val="28"/>
          <w:szCs w:val="28"/>
        </w:rPr>
      </w:pPr>
      <w:r>
        <w:rPr>
          <w:rFonts w:hint="eastAsia" w:cs="Times New Roman"/>
          <w:sz w:val="28"/>
          <w:szCs w:val="28"/>
        </w:rPr>
        <w:t xml:space="preserve">                Di=投报的特许经营期运营期年限</w:t>
      </w:r>
    </w:p>
    <w:p>
      <w:pPr>
        <w:spacing w:line="312" w:lineRule="auto"/>
        <w:ind w:firstLine="560"/>
        <w:rPr>
          <w:rFonts w:cs="Times New Roman"/>
          <w:sz w:val="28"/>
          <w:szCs w:val="28"/>
        </w:rPr>
      </w:pPr>
      <w:r>
        <w:rPr>
          <w:rFonts w:hint="eastAsia" w:cs="Times New Roman"/>
          <w:sz w:val="28"/>
          <w:szCs w:val="28"/>
        </w:rPr>
        <w:t>（2）有效评标年限：除开标现场被宣布为废标的投标人的评标年限之外，剩余所有投标人的评标年限均为有效评标年限，进入评标基准年限计算。</w:t>
      </w:r>
    </w:p>
    <w:p>
      <w:pPr>
        <w:spacing w:line="312" w:lineRule="auto"/>
        <w:ind w:firstLine="560"/>
        <w:rPr>
          <w:rFonts w:cs="Times New Roman"/>
          <w:sz w:val="28"/>
          <w:szCs w:val="28"/>
        </w:rPr>
      </w:pPr>
      <w:r>
        <w:rPr>
          <w:rFonts w:hint="eastAsia" w:cs="Times New Roman"/>
          <w:sz w:val="28"/>
          <w:szCs w:val="28"/>
        </w:rPr>
        <w:t>（3）评标基准年限P计算方法：</w:t>
      </w:r>
    </w:p>
    <w:p>
      <w:pPr>
        <w:spacing w:line="312" w:lineRule="auto"/>
        <w:ind w:firstLine="560"/>
        <w:rPr>
          <w:rFonts w:cs="Times New Roman"/>
          <w:sz w:val="28"/>
          <w:szCs w:val="28"/>
        </w:rPr>
      </w:pPr>
      <w:r>
        <w:rPr>
          <w:rFonts w:hint="eastAsia" w:cs="Times New Roman"/>
          <w:sz w:val="28"/>
          <w:szCs w:val="28"/>
        </w:rPr>
        <w:t>所有有效评标年限中，最短的特许经营期运营期年限为评标基准年限（</w:t>
      </w:r>
      <w:r>
        <w:rPr>
          <w:rFonts w:cs="Times New Roman"/>
          <w:sz w:val="28"/>
          <w:szCs w:val="28"/>
        </w:rPr>
        <w:t>P</w:t>
      </w:r>
      <w:r>
        <w:rPr>
          <w:rFonts w:hint="eastAsia" w:cs="Times New Roman"/>
          <w:sz w:val="28"/>
          <w:szCs w:val="28"/>
        </w:rPr>
        <w:t>）。</w:t>
      </w:r>
    </w:p>
    <w:p>
      <w:pPr>
        <w:spacing w:line="312" w:lineRule="auto"/>
        <w:ind w:firstLine="560"/>
        <w:rPr>
          <w:rFonts w:cs="Times New Roman"/>
          <w:sz w:val="28"/>
          <w:szCs w:val="28"/>
        </w:rPr>
      </w:pPr>
      <w:r>
        <w:rPr>
          <w:rFonts w:hint="eastAsia" w:cs="Times New Roman"/>
          <w:sz w:val="28"/>
          <w:szCs w:val="28"/>
        </w:rPr>
        <w:t>（4）计算特许经营期运营期年限得分（</w:t>
      </w:r>
      <w:r>
        <w:rPr>
          <w:rFonts w:cs="Times New Roman"/>
          <w:sz w:val="28"/>
          <w:szCs w:val="28"/>
        </w:rPr>
        <w:t>35</w:t>
      </w:r>
      <w:r>
        <w:rPr>
          <w:rFonts w:hint="eastAsia" w:cs="Times New Roman"/>
          <w:sz w:val="28"/>
          <w:szCs w:val="28"/>
        </w:rPr>
        <w:t>分）</w:t>
      </w:r>
    </w:p>
    <w:p>
      <w:pPr>
        <w:spacing w:line="312" w:lineRule="auto"/>
        <w:ind w:firstLine="560"/>
        <w:rPr>
          <w:rFonts w:cs="Times New Roman"/>
          <w:sz w:val="28"/>
          <w:szCs w:val="28"/>
        </w:rPr>
      </w:pPr>
      <w:r>
        <w:rPr>
          <w:rFonts w:hint="eastAsia" w:cs="Times New Roman"/>
          <w:sz w:val="28"/>
          <w:szCs w:val="28"/>
        </w:rPr>
        <w:t>当投标人投报特许经营期运营期年限等于评标基准年限时得满分，每高于评标基准年限一个百分点扣1分。</w:t>
      </w:r>
    </w:p>
    <w:p>
      <w:pPr>
        <w:spacing w:line="312" w:lineRule="auto"/>
        <w:ind w:firstLine="560"/>
        <w:rPr>
          <w:rFonts w:cs="Times New Roman"/>
          <w:sz w:val="28"/>
          <w:szCs w:val="28"/>
        </w:rPr>
      </w:pPr>
      <w:r>
        <w:rPr>
          <w:rFonts w:hint="eastAsia" w:cs="Times New Roman"/>
          <w:sz w:val="28"/>
          <w:szCs w:val="28"/>
        </w:rPr>
        <w:t>用公式表示如下：</w:t>
      </w:r>
    </w:p>
    <w:p>
      <w:pPr>
        <w:ind w:firstLine="2100" w:firstLineChars="75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color w:val="000000" w:themeColor="text1"/>
          <w:sz w:val="28"/>
          <w:szCs w:val="28"/>
          <w14:textFill>
            <w14:solidFill>
              <w14:schemeClr w14:val="tx1"/>
            </w14:solidFill>
          </w14:textFill>
        </w:rPr>
        <w:t>F</w:t>
      </w:r>
      <w:r>
        <w:rPr>
          <w:rFonts w:hint="eastAsia" w:ascii="宋体" w:hAnsi="宋体" w:eastAsia="宋体" w:cs="宋体"/>
          <w:i/>
          <w:color w:val="000000" w:themeColor="text1"/>
          <w:sz w:val="28"/>
          <w:szCs w:val="28"/>
          <w:vertAlign w:val="subscript"/>
          <w14:textFill>
            <w14:solidFill>
              <w14:schemeClr w14:val="tx1"/>
            </w14:solidFill>
          </w14:textFill>
        </w:rPr>
        <w:t>i</w:t>
      </w:r>
      <w:r>
        <w:rPr>
          <w:rFonts w:hint="eastAsia" w:ascii="宋体" w:hAnsi="宋体" w:eastAsia="宋体" w:cs="宋体"/>
          <w:i/>
          <w:color w:val="000000" w:themeColor="text1"/>
          <w:sz w:val="28"/>
          <w:szCs w:val="28"/>
          <w14:textFill>
            <w14:solidFill>
              <w14:schemeClr w14:val="tx1"/>
            </w14:solidFill>
          </w14:textFill>
        </w:rPr>
        <w:t>=F</w:t>
      </w:r>
      <w:r>
        <w:rPr>
          <w:rFonts w:hint="eastAsia" w:ascii="宋体" w:hAnsi="宋体" w:eastAsia="宋体" w:cs="宋体"/>
          <w:color w:val="000000" w:themeColor="text1"/>
          <w:sz w:val="28"/>
          <w:szCs w:val="28"/>
          <w14:textFill>
            <w14:solidFill>
              <w14:schemeClr w14:val="tx1"/>
            </w14:solidFill>
          </w14:textFill>
        </w:rPr>
        <w:t>-</w:t>
      </w:r>
      <w:r>
        <w:rPr>
          <w:rFonts w:ascii="宋体" w:hAnsi="宋体" w:eastAsia="宋体" w:cs="宋体"/>
          <w:color w:val="000000" w:themeColor="text1"/>
          <w:position w:val="-24"/>
          <w:sz w:val="28"/>
          <w:szCs w:val="28"/>
          <w14:textFill>
            <w14:solidFill>
              <w14:schemeClr w14:val="tx1"/>
            </w14:solidFill>
          </w14:textFill>
        </w:rPr>
        <w:drawing>
          <wp:inline distT="0" distB="0" distL="0" distR="0">
            <wp:extent cx="1190625" cy="390525"/>
            <wp:effectExtent l="0" t="0" r="9525"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190625" cy="390525"/>
                    </a:xfrm>
                    <a:prstGeom prst="rect">
                      <a:avLst/>
                    </a:prstGeom>
                    <a:noFill/>
                    <a:ln>
                      <a:noFill/>
                    </a:ln>
                  </pic:spPr>
                </pic:pic>
              </a:graphicData>
            </a:graphic>
          </wp:inline>
        </w:drawing>
      </w:r>
    </w:p>
    <w:p>
      <w:pPr>
        <w:spacing w:line="312" w:lineRule="auto"/>
        <w:ind w:firstLine="560"/>
        <w:rPr>
          <w:rFonts w:cs="Times New Roman"/>
          <w:sz w:val="28"/>
          <w:szCs w:val="28"/>
        </w:rPr>
      </w:pPr>
      <w:r>
        <w:rPr>
          <w:rFonts w:hint="eastAsia" w:cs="Times New Roman"/>
          <w:sz w:val="28"/>
          <w:szCs w:val="28"/>
        </w:rPr>
        <w:t>式中：</w:t>
      </w:r>
      <w:r>
        <w:rPr>
          <w:rFonts w:hint="eastAsia" w:ascii="宋体" w:hAnsi="宋体" w:eastAsia="宋体" w:cs="宋体"/>
          <w:i/>
          <w:color w:val="000000" w:themeColor="text1"/>
          <w:sz w:val="28"/>
          <w:szCs w:val="28"/>
          <w14:textFill>
            <w14:solidFill>
              <w14:schemeClr w14:val="tx1"/>
            </w14:solidFill>
          </w14:textFill>
        </w:rPr>
        <w:t>F</w:t>
      </w:r>
      <w:r>
        <w:rPr>
          <w:rFonts w:hint="eastAsia" w:ascii="宋体" w:hAnsi="宋体" w:eastAsia="宋体" w:cs="宋体"/>
          <w:i/>
          <w:color w:val="000000" w:themeColor="text1"/>
          <w:sz w:val="28"/>
          <w:szCs w:val="28"/>
          <w:vertAlign w:val="subscript"/>
          <w14:textFill>
            <w14:solidFill>
              <w14:schemeClr w14:val="tx1"/>
            </w14:solidFill>
          </w14:textFill>
        </w:rPr>
        <w:t>i</w:t>
      </w:r>
      <w:r>
        <w:rPr>
          <w:rFonts w:hint="eastAsia" w:cs="Times New Roman"/>
          <w:sz w:val="28"/>
          <w:szCs w:val="28"/>
        </w:rPr>
        <w:t xml:space="preserve"> —投标人投报特许经营期年限得分；</w:t>
      </w:r>
    </w:p>
    <w:p>
      <w:pPr>
        <w:spacing w:line="312" w:lineRule="auto"/>
        <w:ind w:firstLine="560"/>
        <w:rPr>
          <w:rFonts w:cs="Times New Roman"/>
          <w:sz w:val="28"/>
          <w:szCs w:val="28"/>
        </w:rPr>
      </w:pPr>
      <w:r>
        <w:rPr>
          <w:rFonts w:hint="eastAsia" w:cs="Times New Roman"/>
          <w:sz w:val="28"/>
          <w:szCs w:val="28"/>
        </w:rPr>
        <w:t xml:space="preserve">       F—特许经营期运营期年限得分所占的百分比权重，F=35；</w:t>
      </w:r>
    </w:p>
    <w:p>
      <w:pPr>
        <w:spacing w:line="312" w:lineRule="auto"/>
        <w:ind w:firstLine="560"/>
        <w:rPr>
          <w:rFonts w:cs="Times New Roman"/>
          <w:sz w:val="28"/>
          <w:szCs w:val="28"/>
        </w:rPr>
      </w:pPr>
      <w:r>
        <w:rPr>
          <w:rFonts w:hint="eastAsia" w:cs="Times New Roman"/>
          <w:sz w:val="28"/>
          <w:szCs w:val="28"/>
        </w:rPr>
        <w:t xml:space="preserve">       D</w:t>
      </w:r>
      <w:r>
        <w:rPr>
          <w:rFonts w:hint="eastAsia" w:cs="Times New Roman"/>
          <w:sz w:val="28"/>
          <w:szCs w:val="28"/>
          <w:vertAlign w:val="subscript"/>
        </w:rPr>
        <w:t>i</w:t>
      </w:r>
      <w:r>
        <w:rPr>
          <w:rFonts w:hint="eastAsia" w:cs="Times New Roman"/>
          <w:sz w:val="28"/>
          <w:szCs w:val="28"/>
        </w:rPr>
        <w:t>—投标人的投报的特许经营期运营期年限；</w:t>
      </w:r>
    </w:p>
    <w:p>
      <w:pPr>
        <w:spacing w:line="312" w:lineRule="auto"/>
        <w:ind w:firstLine="560"/>
        <w:rPr>
          <w:rFonts w:cs="Times New Roman"/>
          <w:sz w:val="28"/>
          <w:szCs w:val="28"/>
        </w:rPr>
      </w:pPr>
      <w:r>
        <w:rPr>
          <w:rFonts w:hint="eastAsia" w:cs="Times New Roman"/>
          <w:sz w:val="28"/>
          <w:szCs w:val="28"/>
        </w:rPr>
        <w:t xml:space="preserve">       P—评标基准年限。</w:t>
      </w:r>
    </w:p>
    <w:p>
      <w:pPr>
        <w:spacing w:line="312" w:lineRule="auto"/>
        <w:ind w:firstLine="560"/>
        <w:rPr>
          <w:rFonts w:cs="Times New Roman"/>
          <w:sz w:val="28"/>
          <w:szCs w:val="28"/>
        </w:rPr>
      </w:pPr>
      <w:r>
        <w:rPr>
          <w:rFonts w:hint="eastAsia" w:cs="Times New Roman"/>
          <w:sz w:val="28"/>
          <w:szCs w:val="28"/>
        </w:rPr>
        <w:t xml:space="preserve">       E=1分。</w:t>
      </w:r>
    </w:p>
    <w:p>
      <w:pPr>
        <w:spacing w:line="312" w:lineRule="auto"/>
        <w:ind w:firstLine="560"/>
        <w:rPr>
          <w:rFonts w:eastAsia="黑体" w:cs="Times New Roman"/>
          <w:sz w:val="28"/>
          <w:szCs w:val="28"/>
        </w:rPr>
      </w:pPr>
      <w:r>
        <w:rPr>
          <w:rFonts w:hint="eastAsia" w:eastAsia="黑体" w:cs="Times New Roman"/>
          <w:sz w:val="28"/>
          <w:szCs w:val="28"/>
        </w:rPr>
        <w:t>三、招标人联系方式</w:t>
      </w:r>
    </w:p>
    <w:p>
      <w:pPr>
        <w:shd w:val="clear" w:color="auto" w:fill="FFFFFF"/>
        <w:ind w:right="840" w:firstLine="496" w:firstLineChars="177"/>
        <w:jc w:val="right"/>
        <w:rPr>
          <w:rFonts w:eastAsia="宋体" w:cs="Times New Roman"/>
          <w:color w:val="000000" w:themeColor="text1"/>
          <w:sz w:val="28"/>
          <w:szCs w:val="28"/>
          <w14:textFill>
            <w14:solidFill>
              <w14:schemeClr w14:val="tx1"/>
            </w14:solidFill>
          </w14:textFill>
        </w:rPr>
      </w:pPr>
      <w:r>
        <w:rPr>
          <w:rFonts w:eastAsia="宋体" w:cs="Times New Roman"/>
          <w:color w:val="000000" w:themeColor="text1"/>
          <w:sz w:val="28"/>
          <w:szCs w:val="28"/>
          <w14:textFill>
            <w14:solidFill>
              <w14:schemeClr w14:val="tx1"/>
            </w14:solidFill>
          </w14:textFill>
        </w:rPr>
        <w:t>招标人：陕西省交通运输厅</w:t>
      </w:r>
    </w:p>
    <w:p>
      <w:pPr>
        <w:shd w:val="clear" w:color="auto" w:fill="FFFFFF"/>
        <w:ind w:right="840" w:firstLine="496" w:firstLineChars="177"/>
        <w:jc w:val="right"/>
        <w:rPr>
          <w:rFonts w:eastAsia="宋体" w:cs="Times New Roman"/>
          <w:color w:val="000000" w:themeColor="text1"/>
          <w:sz w:val="28"/>
          <w:szCs w:val="28"/>
          <w14:textFill>
            <w14:solidFill>
              <w14:schemeClr w14:val="tx1"/>
            </w14:solidFill>
          </w14:textFill>
        </w:rPr>
      </w:pPr>
      <w:r>
        <w:rPr>
          <w:rFonts w:eastAsia="宋体" w:cs="Times New Roman"/>
          <w:color w:val="000000" w:themeColor="text1"/>
          <w:sz w:val="28"/>
          <w:szCs w:val="28"/>
          <w14:textFill>
            <w14:solidFill>
              <w14:schemeClr w14:val="tx1"/>
            </w14:solidFill>
          </w14:textFill>
        </w:rPr>
        <w:t>地  址：西安市唐延路6号</w:t>
      </w:r>
    </w:p>
    <w:p>
      <w:pPr>
        <w:shd w:val="clear" w:color="auto" w:fill="FFFFFF"/>
        <w:ind w:right="560" w:firstLine="4200" w:firstLineChars="1500"/>
        <w:rPr>
          <w:rFonts w:eastAsia="宋体" w:cs="Times New Roman"/>
          <w:color w:val="000000" w:themeColor="text1"/>
          <w:sz w:val="28"/>
          <w:szCs w:val="28"/>
          <w14:textFill>
            <w14:solidFill>
              <w14:schemeClr w14:val="tx1"/>
            </w14:solidFill>
          </w14:textFill>
        </w:rPr>
      </w:pPr>
      <w:r>
        <w:rPr>
          <w:rFonts w:eastAsia="宋体" w:cs="Times New Roman"/>
          <w:color w:val="000000" w:themeColor="text1"/>
          <w:sz w:val="28"/>
          <w:szCs w:val="28"/>
          <w14:textFill>
            <w14:solidFill>
              <w14:schemeClr w14:val="tx1"/>
            </w14:solidFill>
          </w14:textFill>
        </w:rPr>
        <w:t xml:space="preserve">   邮  编：710075</w:t>
      </w:r>
    </w:p>
    <w:p>
      <w:pPr>
        <w:shd w:val="clear" w:color="auto" w:fill="FFFFFF"/>
        <w:ind w:right="560" w:firstLine="4200" w:firstLineChars="1500"/>
        <w:rPr>
          <w:rFonts w:eastAsia="宋体" w:cs="Times New Roman"/>
          <w:color w:val="000000" w:themeColor="text1"/>
          <w:sz w:val="28"/>
          <w:szCs w:val="28"/>
          <w14:textFill>
            <w14:solidFill>
              <w14:schemeClr w14:val="tx1"/>
            </w14:solidFill>
          </w14:textFill>
        </w:rPr>
      </w:pPr>
      <w:r>
        <w:rPr>
          <w:rFonts w:eastAsia="宋体" w:cs="Times New Roman"/>
          <w:color w:val="000000" w:themeColor="text1"/>
          <w:sz w:val="28"/>
          <w:szCs w:val="28"/>
          <w14:textFill>
            <w14:solidFill>
              <w14:schemeClr w14:val="tx1"/>
            </w14:solidFill>
          </w14:textFill>
        </w:rPr>
        <w:t xml:space="preserve">   联系人：付先生</w:t>
      </w:r>
    </w:p>
    <w:p>
      <w:pPr>
        <w:shd w:val="clear" w:color="auto" w:fill="FFFFFF"/>
        <w:ind w:right="560" w:firstLine="4200" w:firstLineChars="1500"/>
        <w:rPr>
          <w:rFonts w:eastAsia="宋体" w:cs="Times New Roman"/>
          <w:color w:val="000000" w:themeColor="text1"/>
          <w:sz w:val="28"/>
          <w:szCs w:val="28"/>
          <w14:textFill>
            <w14:solidFill>
              <w14:schemeClr w14:val="tx1"/>
            </w14:solidFill>
          </w14:textFill>
        </w:rPr>
      </w:pPr>
      <w:r>
        <w:rPr>
          <w:rFonts w:eastAsia="宋体" w:cs="Times New Roman"/>
          <w:color w:val="000000" w:themeColor="text1"/>
          <w:sz w:val="28"/>
          <w:szCs w:val="28"/>
          <w14:textFill>
            <w14:solidFill>
              <w14:schemeClr w14:val="tx1"/>
            </w14:solidFill>
          </w14:textFill>
        </w:rPr>
        <w:t xml:space="preserve">   电  话：88869807</w:t>
      </w:r>
    </w:p>
    <w:p>
      <w:pPr>
        <w:shd w:val="clear" w:color="auto" w:fill="FFFFFF"/>
        <w:ind w:right="560" w:firstLine="4200" w:firstLineChars="1500"/>
        <w:rPr>
          <w:rFonts w:eastAsia="宋体" w:cs="Times New Roman"/>
          <w:color w:val="000000" w:themeColor="text1"/>
          <w:sz w:val="28"/>
          <w:szCs w:val="28"/>
          <w14:textFill>
            <w14:solidFill>
              <w14:schemeClr w14:val="tx1"/>
            </w14:solidFill>
          </w14:textFill>
        </w:rPr>
      </w:pPr>
      <w:r>
        <w:rPr>
          <w:rFonts w:eastAsia="宋体" w:cs="Times New Roman"/>
          <w:color w:val="000000" w:themeColor="text1"/>
          <w:sz w:val="28"/>
          <w:szCs w:val="28"/>
          <w14:textFill>
            <w14:solidFill>
              <w14:schemeClr w14:val="tx1"/>
            </w14:solidFill>
          </w14:textFill>
        </w:rPr>
        <w:t xml:space="preserve">   传  真：88869807</w:t>
      </w:r>
    </w:p>
    <w:p>
      <w:pPr>
        <w:shd w:val="clear" w:color="auto" w:fill="FFFFFF"/>
        <w:ind w:right="560" w:firstLine="4200" w:firstLineChars="1500"/>
        <w:rPr>
          <w:rFonts w:eastAsia="宋体" w:cs="Times New Roman"/>
          <w:color w:val="000000" w:themeColor="text1"/>
          <w:sz w:val="28"/>
          <w:szCs w:val="28"/>
          <w14:textFill>
            <w14:solidFill>
              <w14:schemeClr w14:val="tx1"/>
            </w14:solidFill>
          </w14:textFill>
        </w:rPr>
      </w:pPr>
    </w:p>
    <w:p>
      <w:pPr>
        <w:shd w:val="clear" w:color="auto" w:fill="FFFFFF"/>
        <w:ind w:right="560" w:firstLine="4200" w:firstLineChars="1500"/>
        <w:rPr>
          <w:rFonts w:eastAsia="宋体" w:cs="Times New Roman"/>
          <w:color w:val="000000" w:themeColor="text1"/>
          <w:sz w:val="28"/>
          <w:szCs w:val="28"/>
          <w14:textFill>
            <w14:solidFill>
              <w14:schemeClr w14:val="tx1"/>
            </w14:solidFill>
          </w14:textFill>
        </w:rPr>
      </w:pPr>
    </w:p>
    <w:p>
      <w:pPr>
        <w:shd w:val="clear" w:color="auto" w:fill="FFFFFF"/>
        <w:ind w:right="560"/>
        <w:rPr>
          <w:rFonts w:hint="eastAsia" w:eastAsia="宋体" w:cs="Times New Roman"/>
          <w:color w:val="000000" w:themeColor="text1"/>
          <w:sz w:val="28"/>
          <w:szCs w:val="28"/>
          <w:lang w:eastAsia="zh-CN"/>
          <w14:textFill>
            <w14:solidFill>
              <w14:schemeClr w14:val="tx1"/>
            </w14:solidFill>
          </w14:textFill>
        </w:rPr>
      </w:pPr>
      <w:r>
        <w:rPr>
          <w:rFonts w:hint="eastAsia" w:eastAsia="宋体" w:cs="Times New Roman"/>
          <w:color w:val="000000" w:themeColor="text1"/>
          <w:sz w:val="28"/>
          <w:szCs w:val="28"/>
          <w:lang w:eastAsia="zh-CN"/>
          <w14:textFill>
            <w14:solidFill>
              <w14:schemeClr w14:val="tx1"/>
            </w14:solidFill>
          </w14:textFill>
        </w:rPr>
        <w:t>附件：</w:t>
      </w:r>
    </w:p>
    <w:p>
      <w:pPr>
        <w:shd w:val="clear" w:color="auto" w:fill="FFFFFF"/>
        <w:ind w:right="560"/>
        <w:rPr>
          <w:rFonts w:hint="eastAsia" w:eastAsia="宋体" w:cs="Times New Roman"/>
          <w:color w:val="000000" w:themeColor="text1"/>
          <w:sz w:val="28"/>
          <w:szCs w:val="28"/>
          <w:lang w:val="en-US" w:eastAsia="zh-CN"/>
          <w14:textFill>
            <w14:solidFill>
              <w14:schemeClr w14:val="tx1"/>
            </w14:solidFill>
          </w14:textFill>
        </w:rPr>
      </w:pPr>
      <w:r>
        <w:rPr>
          <w:rFonts w:hint="eastAsia" w:eastAsia="宋体" w:cs="Times New Roman"/>
          <w:color w:val="000000" w:themeColor="text1"/>
          <w:sz w:val="28"/>
          <w:szCs w:val="28"/>
          <w:lang w:val="en-US" w:eastAsia="zh-CN"/>
          <w14:textFill>
            <w14:solidFill>
              <w14:schemeClr w14:val="tx1"/>
            </w14:solidFill>
          </w14:textFill>
        </w:rPr>
        <w:t>1、投资协议关键内容</w:t>
      </w:r>
    </w:p>
    <w:p>
      <w:pPr>
        <w:shd w:val="clear" w:color="auto" w:fill="FFFFFF"/>
        <w:ind w:right="560"/>
        <w:rPr>
          <w:rFonts w:hint="eastAsia" w:eastAsia="宋体" w:cs="Times New Roman"/>
          <w:color w:val="000000" w:themeColor="text1"/>
          <w:sz w:val="28"/>
          <w:szCs w:val="28"/>
          <w:lang w:val="en-US" w:eastAsia="zh-CN"/>
          <w14:textFill>
            <w14:solidFill>
              <w14:schemeClr w14:val="tx1"/>
            </w14:solidFill>
          </w14:textFill>
        </w:rPr>
      </w:pPr>
      <w:r>
        <w:rPr>
          <w:rFonts w:hint="eastAsia" w:eastAsia="宋体" w:cs="Times New Roman"/>
          <w:color w:val="000000" w:themeColor="text1"/>
          <w:sz w:val="28"/>
          <w:szCs w:val="28"/>
          <w:lang w:val="en-US" w:eastAsia="zh-CN"/>
          <w14:textFill>
            <w14:solidFill>
              <w14:schemeClr w14:val="tx1"/>
            </w14:solidFill>
          </w14:textFill>
        </w:rPr>
        <w:t>2、PPP项目合同关键内容</w:t>
      </w:r>
    </w:p>
    <w:p>
      <w:pPr>
        <w:shd w:val="clear" w:color="auto" w:fill="FFFFFF"/>
        <w:ind w:right="560"/>
        <w:rPr>
          <w:rFonts w:hint="eastAsia" w:eastAsia="宋体" w:cs="Times New Roman"/>
          <w:color w:val="000000" w:themeColor="text1"/>
          <w:sz w:val="28"/>
          <w:szCs w:val="28"/>
          <w:lang w:val="en-US" w:eastAsia="zh-CN"/>
          <w14:textFill>
            <w14:solidFill>
              <w14:schemeClr w14:val="tx1"/>
            </w14:solidFill>
          </w14:textFill>
        </w:rPr>
      </w:pPr>
      <w:bookmarkStart w:id="4" w:name="_GoBack"/>
      <w:bookmarkEnd w:id="4"/>
    </w:p>
    <w:p>
      <w:pPr>
        <w:ind w:firstLine="560"/>
        <w:rPr>
          <w:rFonts w:cs="Times New Roman"/>
          <w:sz w:val="28"/>
          <w:szCs w:val="28"/>
        </w:rPr>
      </w:pPr>
    </w:p>
    <w:p>
      <w:pPr>
        <w:ind w:firstLine="0" w:firstLineChars="0"/>
      </w:pPr>
    </w:p>
    <w:sectPr>
      <w:headerReference r:id="rId3" w:type="default"/>
      <w:footerReference r:id="rId4" w:type="default"/>
      <w:pgSz w:w="11906" w:h="16838"/>
      <w:pgMar w:top="1985" w:right="1531" w:bottom="1701" w:left="1588" w:header="851" w:footer="79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2010601030101010101"/>
    <w:charset w:val="86"/>
    <w:family w:val="auto"/>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480"/>
      <w:jc w:val="center"/>
      <w:rPr>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6060415"/>
                          </w:sdtPr>
                          <w:sdtEndPr>
                            <w:rPr>
                              <w:sz w:val="24"/>
                              <w:szCs w:val="24"/>
                            </w:rPr>
                          </w:sdtEndPr>
                          <w:sdtContent>
                            <w:p>
                              <w:pPr>
                                <w:pStyle w:val="9"/>
                                <w:ind w:firstLine="360"/>
                                <w:jc w:val="center"/>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w:t>
                              </w:r>
                              <w:r>
                                <w:rPr>
                                  <w:sz w:val="24"/>
                                  <w:szCs w:val="24"/>
                                </w:rPr>
                                <w:t xml:space="preserve"> 1 -</w:t>
                              </w:r>
                              <w:r>
                                <w:rPr>
                                  <w:sz w:val="24"/>
                                  <w:szCs w:val="24"/>
                                </w:rPr>
                                <w:fldChar w:fldCharType="end"/>
                              </w:r>
                            </w:p>
                          </w:sdtContent>
                        </w:sdt>
                        <w:p>
                          <w:pPr>
                            <w:ind w:firstLine="480"/>
                            <w:rPr>
                              <w:sz w:val="24"/>
                              <w:szCs w:val="24"/>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sdt>
                    <w:sdtPr>
                      <w:id w:val="16060415"/>
                    </w:sdtPr>
                    <w:sdtEndPr>
                      <w:rPr>
                        <w:sz w:val="24"/>
                        <w:szCs w:val="24"/>
                      </w:rPr>
                    </w:sdtEndPr>
                    <w:sdtContent>
                      <w:p>
                        <w:pPr>
                          <w:pStyle w:val="9"/>
                          <w:ind w:firstLine="360"/>
                          <w:jc w:val="center"/>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w:t>
                        </w:r>
                        <w:r>
                          <w:rPr>
                            <w:sz w:val="24"/>
                            <w:szCs w:val="24"/>
                          </w:rPr>
                          <w:t xml:space="preserve"> 1 -</w:t>
                        </w:r>
                        <w:r>
                          <w:rPr>
                            <w:sz w:val="24"/>
                            <w:szCs w:val="24"/>
                          </w:rPr>
                          <w:fldChar w:fldCharType="end"/>
                        </w:r>
                      </w:p>
                    </w:sdtContent>
                  </w:sdt>
                  <w:p>
                    <w:pPr>
                      <w:ind w:firstLine="480"/>
                      <w:rPr>
                        <w:sz w:val="24"/>
                        <w:szCs w:val="24"/>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640" w:firstLine="0" w:firstLineChars="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C256F"/>
    <w:multiLevelType w:val="singleLevel"/>
    <w:tmpl w:val="0E4C256F"/>
    <w:lvl w:ilvl="0" w:tentative="0">
      <w:start w:val="1"/>
      <w:numFmt w:val="upperLetter"/>
      <w:pStyle w:val="3"/>
      <w:lvlText w:val="%1、"/>
      <w:lvlJc w:val="left"/>
      <w:pPr>
        <w:tabs>
          <w:tab w:val="left" w:pos="960"/>
        </w:tabs>
        <w:ind w:left="960" w:hanging="324"/>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157"/>
    <w:rsid w:val="0001322D"/>
    <w:rsid w:val="00020A63"/>
    <w:rsid w:val="00023848"/>
    <w:rsid w:val="000241CB"/>
    <w:rsid w:val="000337F1"/>
    <w:rsid w:val="00040710"/>
    <w:rsid w:val="00040BC0"/>
    <w:rsid w:val="00045D9D"/>
    <w:rsid w:val="00046309"/>
    <w:rsid w:val="000551A5"/>
    <w:rsid w:val="00083AB1"/>
    <w:rsid w:val="00084B79"/>
    <w:rsid w:val="00087F53"/>
    <w:rsid w:val="00091D3B"/>
    <w:rsid w:val="000A0031"/>
    <w:rsid w:val="000B20DC"/>
    <w:rsid w:val="000C1E69"/>
    <w:rsid w:val="000D24E6"/>
    <w:rsid w:val="000F7DF3"/>
    <w:rsid w:val="001108A8"/>
    <w:rsid w:val="001112F0"/>
    <w:rsid w:val="001157D2"/>
    <w:rsid w:val="00117855"/>
    <w:rsid w:val="00123FC6"/>
    <w:rsid w:val="001261D2"/>
    <w:rsid w:val="00127AE3"/>
    <w:rsid w:val="00132498"/>
    <w:rsid w:val="00133479"/>
    <w:rsid w:val="001429AF"/>
    <w:rsid w:val="00145BAD"/>
    <w:rsid w:val="0014602D"/>
    <w:rsid w:val="00181331"/>
    <w:rsid w:val="00197885"/>
    <w:rsid w:val="001A5903"/>
    <w:rsid w:val="001B5415"/>
    <w:rsid w:val="001C0768"/>
    <w:rsid w:val="001C52A7"/>
    <w:rsid w:val="001E6DA4"/>
    <w:rsid w:val="001F26A6"/>
    <w:rsid w:val="00204C86"/>
    <w:rsid w:val="00205133"/>
    <w:rsid w:val="00212F88"/>
    <w:rsid w:val="00215772"/>
    <w:rsid w:val="002208FA"/>
    <w:rsid w:val="00231163"/>
    <w:rsid w:val="00233770"/>
    <w:rsid w:val="00263D05"/>
    <w:rsid w:val="002712C9"/>
    <w:rsid w:val="00276521"/>
    <w:rsid w:val="002818BD"/>
    <w:rsid w:val="00285FBA"/>
    <w:rsid w:val="00287923"/>
    <w:rsid w:val="002C7F15"/>
    <w:rsid w:val="002F124A"/>
    <w:rsid w:val="00300126"/>
    <w:rsid w:val="00305DF5"/>
    <w:rsid w:val="00311318"/>
    <w:rsid w:val="003118A8"/>
    <w:rsid w:val="00317534"/>
    <w:rsid w:val="00320DDC"/>
    <w:rsid w:val="00332660"/>
    <w:rsid w:val="00334A40"/>
    <w:rsid w:val="00343B31"/>
    <w:rsid w:val="003527F2"/>
    <w:rsid w:val="00352C14"/>
    <w:rsid w:val="0035472D"/>
    <w:rsid w:val="00363F91"/>
    <w:rsid w:val="00387C34"/>
    <w:rsid w:val="003B0126"/>
    <w:rsid w:val="003B361C"/>
    <w:rsid w:val="003C150A"/>
    <w:rsid w:val="003C21FD"/>
    <w:rsid w:val="003E6438"/>
    <w:rsid w:val="003F10EE"/>
    <w:rsid w:val="003F145F"/>
    <w:rsid w:val="00414265"/>
    <w:rsid w:val="00417C88"/>
    <w:rsid w:val="00425C6A"/>
    <w:rsid w:val="004265E9"/>
    <w:rsid w:val="004345E5"/>
    <w:rsid w:val="004377F3"/>
    <w:rsid w:val="00437F0C"/>
    <w:rsid w:val="00442BA3"/>
    <w:rsid w:val="0047703E"/>
    <w:rsid w:val="00477D6F"/>
    <w:rsid w:val="00486575"/>
    <w:rsid w:val="004A1D41"/>
    <w:rsid w:val="004A6F9A"/>
    <w:rsid w:val="004B11BC"/>
    <w:rsid w:val="004D4809"/>
    <w:rsid w:val="004E3C74"/>
    <w:rsid w:val="004F2F7E"/>
    <w:rsid w:val="00507BA9"/>
    <w:rsid w:val="00535B16"/>
    <w:rsid w:val="005709E3"/>
    <w:rsid w:val="00581391"/>
    <w:rsid w:val="00594497"/>
    <w:rsid w:val="005A26EC"/>
    <w:rsid w:val="005A4F7E"/>
    <w:rsid w:val="005B01A5"/>
    <w:rsid w:val="005B4AC2"/>
    <w:rsid w:val="005C4E76"/>
    <w:rsid w:val="005D06E9"/>
    <w:rsid w:val="005D36DA"/>
    <w:rsid w:val="005D6647"/>
    <w:rsid w:val="005E57B0"/>
    <w:rsid w:val="005E7B88"/>
    <w:rsid w:val="00602CFE"/>
    <w:rsid w:val="006048F9"/>
    <w:rsid w:val="006066E6"/>
    <w:rsid w:val="0061705A"/>
    <w:rsid w:val="0065630E"/>
    <w:rsid w:val="00656DA1"/>
    <w:rsid w:val="00663A19"/>
    <w:rsid w:val="00676074"/>
    <w:rsid w:val="0068337F"/>
    <w:rsid w:val="00687EFD"/>
    <w:rsid w:val="00694157"/>
    <w:rsid w:val="006B581F"/>
    <w:rsid w:val="006C48D4"/>
    <w:rsid w:val="006D140A"/>
    <w:rsid w:val="006D5146"/>
    <w:rsid w:val="006E2752"/>
    <w:rsid w:val="006E2BCE"/>
    <w:rsid w:val="00722244"/>
    <w:rsid w:val="0072435B"/>
    <w:rsid w:val="00752FC1"/>
    <w:rsid w:val="00754EA4"/>
    <w:rsid w:val="00766F90"/>
    <w:rsid w:val="007759F8"/>
    <w:rsid w:val="007A509F"/>
    <w:rsid w:val="007A6A07"/>
    <w:rsid w:val="007D5118"/>
    <w:rsid w:val="007D5BC5"/>
    <w:rsid w:val="007E689C"/>
    <w:rsid w:val="00802097"/>
    <w:rsid w:val="0082562A"/>
    <w:rsid w:val="00832224"/>
    <w:rsid w:val="0084170B"/>
    <w:rsid w:val="00842E11"/>
    <w:rsid w:val="00850EF5"/>
    <w:rsid w:val="008515C5"/>
    <w:rsid w:val="00893568"/>
    <w:rsid w:val="008A69B8"/>
    <w:rsid w:val="008C045A"/>
    <w:rsid w:val="008C2383"/>
    <w:rsid w:val="008C2871"/>
    <w:rsid w:val="008D3EAE"/>
    <w:rsid w:val="008F6E44"/>
    <w:rsid w:val="008F7979"/>
    <w:rsid w:val="009004D4"/>
    <w:rsid w:val="00901083"/>
    <w:rsid w:val="009068E0"/>
    <w:rsid w:val="0091617C"/>
    <w:rsid w:val="00916931"/>
    <w:rsid w:val="009171D1"/>
    <w:rsid w:val="0091722D"/>
    <w:rsid w:val="00920CC0"/>
    <w:rsid w:val="00922A84"/>
    <w:rsid w:val="009479B1"/>
    <w:rsid w:val="00960E86"/>
    <w:rsid w:val="00971046"/>
    <w:rsid w:val="00975CD0"/>
    <w:rsid w:val="00983562"/>
    <w:rsid w:val="0099089E"/>
    <w:rsid w:val="009A3960"/>
    <w:rsid w:val="009B154D"/>
    <w:rsid w:val="009B50A5"/>
    <w:rsid w:val="009F129B"/>
    <w:rsid w:val="00A1569F"/>
    <w:rsid w:val="00A16ACF"/>
    <w:rsid w:val="00A3579F"/>
    <w:rsid w:val="00A533A5"/>
    <w:rsid w:val="00A64DCA"/>
    <w:rsid w:val="00A71917"/>
    <w:rsid w:val="00A81BF5"/>
    <w:rsid w:val="00A820C3"/>
    <w:rsid w:val="00A84E2B"/>
    <w:rsid w:val="00AA454D"/>
    <w:rsid w:val="00AB231F"/>
    <w:rsid w:val="00AB729B"/>
    <w:rsid w:val="00AC220D"/>
    <w:rsid w:val="00AD217E"/>
    <w:rsid w:val="00AE210A"/>
    <w:rsid w:val="00AF2126"/>
    <w:rsid w:val="00AF26A8"/>
    <w:rsid w:val="00AF4CF6"/>
    <w:rsid w:val="00B04674"/>
    <w:rsid w:val="00B270A0"/>
    <w:rsid w:val="00B436EB"/>
    <w:rsid w:val="00B44C95"/>
    <w:rsid w:val="00B53F09"/>
    <w:rsid w:val="00B72D17"/>
    <w:rsid w:val="00B740B9"/>
    <w:rsid w:val="00B74BBF"/>
    <w:rsid w:val="00B761BF"/>
    <w:rsid w:val="00B76A1A"/>
    <w:rsid w:val="00B84900"/>
    <w:rsid w:val="00B84C9C"/>
    <w:rsid w:val="00B87BBC"/>
    <w:rsid w:val="00B95D3C"/>
    <w:rsid w:val="00BB0ADF"/>
    <w:rsid w:val="00BC5A15"/>
    <w:rsid w:val="00BC7FFD"/>
    <w:rsid w:val="00BE56E3"/>
    <w:rsid w:val="00BF67B2"/>
    <w:rsid w:val="00BF76CA"/>
    <w:rsid w:val="00C12864"/>
    <w:rsid w:val="00C13417"/>
    <w:rsid w:val="00C22831"/>
    <w:rsid w:val="00C22B70"/>
    <w:rsid w:val="00C24ABA"/>
    <w:rsid w:val="00C35CE6"/>
    <w:rsid w:val="00C42285"/>
    <w:rsid w:val="00C43960"/>
    <w:rsid w:val="00C504AC"/>
    <w:rsid w:val="00C52F39"/>
    <w:rsid w:val="00C75E87"/>
    <w:rsid w:val="00C76C35"/>
    <w:rsid w:val="00C76FD6"/>
    <w:rsid w:val="00C916A9"/>
    <w:rsid w:val="00C92E1D"/>
    <w:rsid w:val="00CA0103"/>
    <w:rsid w:val="00CA7B83"/>
    <w:rsid w:val="00CB0C40"/>
    <w:rsid w:val="00CC616C"/>
    <w:rsid w:val="00CD1868"/>
    <w:rsid w:val="00CF25CD"/>
    <w:rsid w:val="00CF292D"/>
    <w:rsid w:val="00D05D22"/>
    <w:rsid w:val="00D12539"/>
    <w:rsid w:val="00D12EDA"/>
    <w:rsid w:val="00D1599B"/>
    <w:rsid w:val="00D24D78"/>
    <w:rsid w:val="00D35293"/>
    <w:rsid w:val="00D3642C"/>
    <w:rsid w:val="00D518F5"/>
    <w:rsid w:val="00D6694F"/>
    <w:rsid w:val="00D71903"/>
    <w:rsid w:val="00D74735"/>
    <w:rsid w:val="00D75090"/>
    <w:rsid w:val="00D81124"/>
    <w:rsid w:val="00D91330"/>
    <w:rsid w:val="00DB2B8C"/>
    <w:rsid w:val="00DB41E2"/>
    <w:rsid w:val="00DB447C"/>
    <w:rsid w:val="00DC3D56"/>
    <w:rsid w:val="00DD41FB"/>
    <w:rsid w:val="00DE244A"/>
    <w:rsid w:val="00DF5A47"/>
    <w:rsid w:val="00E027C0"/>
    <w:rsid w:val="00E02870"/>
    <w:rsid w:val="00E13BE9"/>
    <w:rsid w:val="00E263F2"/>
    <w:rsid w:val="00E30AA1"/>
    <w:rsid w:val="00E36D0A"/>
    <w:rsid w:val="00E400AA"/>
    <w:rsid w:val="00E41D2D"/>
    <w:rsid w:val="00E41E7B"/>
    <w:rsid w:val="00E53E65"/>
    <w:rsid w:val="00E6656C"/>
    <w:rsid w:val="00E707BA"/>
    <w:rsid w:val="00E92D0C"/>
    <w:rsid w:val="00E956D6"/>
    <w:rsid w:val="00EA3F0F"/>
    <w:rsid w:val="00EB19DD"/>
    <w:rsid w:val="00EB1C1B"/>
    <w:rsid w:val="00ED795A"/>
    <w:rsid w:val="00EE0879"/>
    <w:rsid w:val="00EF41DD"/>
    <w:rsid w:val="00F00F82"/>
    <w:rsid w:val="00F14FEE"/>
    <w:rsid w:val="00F37175"/>
    <w:rsid w:val="00F4040C"/>
    <w:rsid w:val="00F51097"/>
    <w:rsid w:val="00F518F9"/>
    <w:rsid w:val="00F51FA5"/>
    <w:rsid w:val="00F5740B"/>
    <w:rsid w:val="00F661AF"/>
    <w:rsid w:val="00F93496"/>
    <w:rsid w:val="00F93521"/>
    <w:rsid w:val="00FA2888"/>
    <w:rsid w:val="00FA2890"/>
    <w:rsid w:val="00FB77E1"/>
    <w:rsid w:val="00FD7F72"/>
    <w:rsid w:val="00FF4526"/>
    <w:rsid w:val="00FF5C75"/>
    <w:rsid w:val="00FF68DA"/>
    <w:rsid w:val="010F261F"/>
    <w:rsid w:val="014E60D6"/>
    <w:rsid w:val="01F514D1"/>
    <w:rsid w:val="020819E9"/>
    <w:rsid w:val="02A81317"/>
    <w:rsid w:val="03FE27F6"/>
    <w:rsid w:val="041501F6"/>
    <w:rsid w:val="04BB681F"/>
    <w:rsid w:val="05C202B4"/>
    <w:rsid w:val="05C6158F"/>
    <w:rsid w:val="05F14CDF"/>
    <w:rsid w:val="07B70F1C"/>
    <w:rsid w:val="081C5B87"/>
    <w:rsid w:val="09023B9B"/>
    <w:rsid w:val="09583AA2"/>
    <w:rsid w:val="09974D5A"/>
    <w:rsid w:val="0A763EF5"/>
    <w:rsid w:val="0AEB4193"/>
    <w:rsid w:val="0CA10BAD"/>
    <w:rsid w:val="0DB31068"/>
    <w:rsid w:val="0DC670FB"/>
    <w:rsid w:val="0E5C03E2"/>
    <w:rsid w:val="0EA16B0C"/>
    <w:rsid w:val="0F39637E"/>
    <w:rsid w:val="109A2901"/>
    <w:rsid w:val="10D46105"/>
    <w:rsid w:val="11A030B4"/>
    <w:rsid w:val="12CF3E82"/>
    <w:rsid w:val="134A6FBE"/>
    <w:rsid w:val="14AA4C39"/>
    <w:rsid w:val="155064BB"/>
    <w:rsid w:val="169C22DC"/>
    <w:rsid w:val="17025237"/>
    <w:rsid w:val="17682525"/>
    <w:rsid w:val="17912C94"/>
    <w:rsid w:val="18A334F5"/>
    <w:rsid w:val="18DD2BD7"/>
    <w:rsid w:val="191A7618"/>
    <w:rsid w:val="1A7642E6"/>
    <w:rsid w:val="1AE11520"/>
    <w:rsid w:val="1C232815"/>
    <w:rsid w:val="1C563F4E"/>
    <w:rsid w:val="1C8666D6"/>
    <w:rsid w:val="1C87366A"/>
    <w:rsid w:val="1E820603"/>
    <w:rsid w:val="1F78202B"/>
    <w:rsid w:val="201108F3"/>
    <w:rsid w:val="20C254BE"/>
    <w:rsid w:val="21E0276F"/>
    <w:rsid w:val="22000968"/>
    <w:rsid w:val="221336D4"/>
    <w:rsid w:val="23E8096E"/>
    <w:rsid w:val="24D154B8"/>
    <w:rsid w:val="24F04EA4"/>
    <w:rsid w:val="258953AD"/>
    <w:rsid w:val="25AF7016"/>
    <w:rsid w:val="268A0E76"/>
    <w:rsid w:val="27AE0752"/>
    <w:rsid w:val="28014BB9"/>
    <w:rsid w:val="28A7614D"/>
    <w:rsid w:val="2A39029E"/>
    <w:rsid w:val="2A8533C8"/>
    <w:rsid w:val="2AA4460E"/>
    <w:rsid w:val="2B250D23"/>
    <w:rsid w:val="2B624788"/>
    <w:rsid w:val="2C8B03A8"/>
    <w:rsid w:val="2DA16460"/>
    <w:rsid w:val="2DDB7387"/>
    <w:rsid w:val="2F85099A"/>
    <w:rsid w:val="327C72E2"/>
    <w:rsid w:val="32AA46CE"/>
    <w:rsid w:val="32C6161A"/>
    <w:rsid w:val="32EE059B"/>
    <w:rsid w:val="332912CA"/>
    <w:rsid w:val="338A2699"/>
    <w:rsid w:val="360A252F"/>
    <w:rsid w:val="364442CB"/>
    <w:rsid w:val="36A75F6E"/>
    <w:rsid w:val="36B12882"/>
    <w:rsid w:val="36EF61E2"/>
    <w:rsid w:val="381D5A1F"/>
    <w:rsid w:val="387176CC"/>
    <w:rsid w:val="39F75AF4"/>
    <w:rsid w:val="3A5A71DC"/>
    <w:rsid w:val="3BEA65BF"/>
    <w:rsid w:val="3C651993"/>
    <w:rsid w:val="3CCB36D1"/>
    <w:rsid w:val="3D121409"/>
    <w:rsid w:val="3DCF2D40"/>
    <w:rsid w:val="3FF224F2"/>
    <w:rsid w:val="40D54D3C"/>
    <w:rsid w:val="41274734"/>
    <w:rsid w:val="412D1F61"/>
    <w:rsid w:val="424A69B8"/>
    <w:rsid w:val="43F5301A"/>
    <w:rsid w:val="43F55B5A"/>
    <w:rsid w:val="440D7C4F"/>
    <w:rsid w:val="441A3207"/>
    <w:rsid w:val="441C733A"/>
    <w:rsid w:val="442628B5"/>
    <w:rsid w:val="44B75CC7"/>
    <w:rsid w:val="48006830"/>
    <w:rsid w:val="48403B78"/>
    <w:rsid w:val="487843D1"/>
    <w:rsid w:val="48BC6695"/>
    <w:rsid w:val="49D1206B"/>
    <w:rsid w:val="4A6D21CF"/>
    <w:rsid w:val="4A902143"/>
    <w:rsid w:val="4AE107F4"/>
    <w:rsid w:val="4B321E7E"/>
    <w:rsid w:val="4BAC1525"/>
    <w:rsid w:val="4C171193"/>
    <w:rsid w:val="4C305B79"/>
    <w:rsid w:val="4C6D0954"/>
    <w:rsid w:val="4CE44370"/>
    <w:rsid w:val="51A55A05"/>
    <w:rsid w:val="51AA5A56"/>
    <w:rsid w:val="55137D19"/>
    <w:rsid w:val="55287561"/>
    <w:rsid w:val="56000CE9"/>
    <w:rsid w:val="568F2B13"/>
    <w:rsid w:val="56AA02C7"/>
    <w:rsid w:val="57862FEF"/>
    <w:rsid w:val="57A257C2"/>
    <w:rsid w:val="57A66965"/>
    <w:rsid w:val="57A80FEB"/>
    <w:rsid w:val="58180CE5"/>
    <w:rsid w:val="588E7F3D"/>
    <w:rsid w:val="58AA7525"/>
    <w:rsid w:val="5A2E06C2"/>
    <w:rsid w:val="5AC6486D"/>
    <w:rsid w:val="5B6579FB"/>
    <w:rsid w:val="5C3260B3"/>
    <w:rsid w:val="5E335AF4"/>
    <w:rsid w:val="5E3D2CCE"/>
    <w:rsid w:val="5E8500BF"/>
    <w:rsid w:val="5EE26744"/>
    <w:rsid w:val="609B0728"/>
    <w:rsid w:val="617745E2"/>
    <w:rsid w:val="61BF6830"/>
    <w:rsid w:val="61DA6323"/>
    <w:rsid w:val="6265637F"/>
    <w:rsid w:val="6384283F"/>
    <w:rsid w:val="647637A5"/>
    <w:rsid w:val="659E474D"/>
    <w:rsid w:val="65B86BE6"/>
    <w:rsid w:val="6688638F"/>
    <w:rsid w:val="668C690D"/>
    <w:rsid w:val="67CF4532"/>
    <w:rsid w:val="68D2314F"/>
    <w:rsid w:val="68E17403"/>
    <w:rsid w:val="6AB05914"/>
    <w:rsid w:val="6ACC548A"/>
    <w:rsid w:val="6B8715DA"/>
    <w:rsid w:val="6ECA664D"/>
    <w:rsid w:val="6F4D0F21"/>
    <w:rsid w:val="710C17FE"/>
    <w:rsid w:val="71EF6D06"/>
    <w:rsid w:val="72E14D02"/>
    <w:rsid w:val="73E4137A"/>
    <w:rsid w:val="74552DC0"/>
    <w:rsid w:val="752059FC"/>
    <w:rsid w:val="75C07546"/>
    <w:rsid w:val="76116711"/>
    <w:rsid w:val="77526C42"/>
    <w:rsid w:val="77F66C90"/>
    <w:rsid w:val="78BA2183"/>
    <w:rsid w:val="7958450A"/>
    <w:rsid w:val="79C27C85"/>
    <w:rsid w:val="7A6218B8"/>
    <w:rsid w:val="7BD42EE6"/>
    <w:rsid w:val="7BFC4BB2"/>
    <w:rsid w:val="7C811EEA"/>
    <w:rsid w:val="7CCE6852"/>
    <w:rsid w:val="7CF60338"/>
    <w:rsid w:val="7D997A9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仿宋" w:cstheme="minorBidi"/>
      <w:kern w:val="2"/>
      <w:sz w:val="32"/>
      <w:szCs w:val="22"/>
      <w:lang w:val="en-US" w:eastAsia="zh-CN" w:bidi="ar-SA"/>
    </w:rPr>
  </w:style>
  <w:style w:type="paragraph" w:styleId="2">
    <w:name w:val="heading 1"/>
    <w:basedOn w:val="1"/>
    <w:next w:val="1"/>
    <w:link w:val="16"/>
    <w:qFormat/>
    <w:uiPriority w:val="9"/>
    <w:pPr>
      <w:keepNext/>
      <w:keepLines/>
      <w:ind w:firstLine="0" w:firstLineChars="0"/>
      <w:jc w:val="center"/>
      <w:outlineLvl w:val="0"/>
    </w:pPr>
    <w:rPr>
      <w:rFonts w:eastAsia="方正小标宋简体"/>
      <w:b/>
      <w:bCs/>
      <w:kern w:val="44"/>
      <w:sz w:val="44"/>
      <w:szCs w:val="44"/>
    </w:rPr>
  </w:style>
  <w:style w:type="paragraph" w:styleId="3">
    <w:name w:val="heading 3"/>
    <w:basedOn w:val="1"/>
    <w:next w:val="4"/>
    <w:unhideWhenUsed/>
    <w:qFormat/>
    <w:uiPriority w:val="9"/>
    <w:pPr>
      <w:keepNext/>
      <w:numPr>
        <w:ilvl w:val="0"/>
        <w:numId w:val="1"/>
      </w:numPr>
      <w:jc w:val="center"/>
      <w:outlineLvl w:val="2"/>
    </w:pPr>
    <w:rPr>
      <w:rFonts w:ascii="黑体" w:eastAsia="黑体" w:cs="黑体"/>
      <w:color w:val="000000"/>
      <w:szCs w:val="32"/>
    </w:rPr>
  </w:style>
  <w:style w:type="paragraph" w:styleId="5">
    <w:name w:val="heading 5"/>
    <w:basedOn w:val="1"/>
    <w:next w:val="1"/>
    <w:unhideWhenUsed/>
    <w:qFormat/>
    <w:uiPriority w:val="9"/>
    <w:pPr>
      <w:keepNext/>
      <w:keepLines/>
      <w:spacing w:before="280" w:after="290" w:line="376" w:lineRule="auto"/>
      <w:outlineLvl w:val="4"/>
    </w:pPr>
    <w:rPr>
      <w:b/>
      <w:bCs/>
      <w:sz w:val="28"/>
      <w:szCs w:val="28"/>
    </w:rPr>
  </w:style>
  <w:style w:type="character" w:default="1" w:styleId="11">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4">
    <w:name w:val="Normal Indent"/>
    <w:basedOn w:val="1"/>
    <w:unhideWhenUsed/>
    <w:qFormat/>
    <w:uiPriority w:val="99"/>
    <w:pPr>
      <w:ind w:firstLine="420"/>
    </w:pPr>
  </w:style>
  <w:style w:type="paragraph" w:styleId="6">
    <w:name w:val="toc 3"/>
    <w:basedOn w:val="1"/>
    <w:next w:val="1"/>
    <w:qFormat/>
    <w:uiPriority w:val="0"/>
    <w:pPr>
      <w:spacing w:before="100" w:beforeAutospacing="1" w:after="100" w:afterAutospacing="1" w:line="240" w:lineRule="auto"/>
      <w:ind w:left="210" w:firstLine="0" w:firstLineChars="0"/>
      <w:jc w:val="left"/>
    </w:pPr>
    <w:rPr>
      <w:rFonts w:ascii="Calibri" w:hAnsi="Calibri" w:eastAsia="宋体" w:cs="Times New Roman"/>
      <w:sz w:val="20"/>
      <w:szCs w:val="20"/>
    </w:rPr>
  </w:style>
  <w:style w:type="paragraph" w:styleId="7">
    <w:name w:val="Plain Text"/>
    <w:basedOn w:val="1"/>
    <w:unhideWhenUsed/>
    <w:qFormat/>
    <w:uiPriority w:val="99"/>
    <w:rPr>
      <w:rFonts w:ascii="宋体" w:hAnsi="Courier New"/>
    </w:rPr>
  </w:style>
  <w:style w:type="paragraph" w:styleId="8">
    <w:name w:val="Balloon Text"/>
    <w:basedOn w:val="1"/>
    <w:link w:val="17"/>
    <w:unhideWhenUsed/>
    <w:qFormat/>
    <w:uiPriority w:val="99"/>
    <w:pPr>
      <w:spacing w:line="240" w:lineRule="auto"/>
    </w:pPr>
    <w:rPr>
      <w:sz w:val="18"/>
      <w:szCs w:val="18"/>
    </w:rPr>
  </w:style>
  <w:style w:type="paragraph" w:styleId="9">
    <w:name w:val="footer"/>
    <w:basedOn w:val="1"/>
    <w:link w:val="15"/>
    <w:unhideWhenUsed/>
    <w:qFormat/>
    <w:uiPriority w:val="99"/>
    <w:pPr>
      <w:tabs>
        <w:tab w:val="center" w:pos="4153"/>
        <w:tab w:val="right" w:pos="8306"/>
      </w:tabs>
      <w:snapToGrid w:val="0"/>
      <w:jc w:val="left"/>
    </w:pPr>
    <w:rPr>
      <w:sz w:val="18"/>
      <w:szCs w:val="18"/>
    </w:rPr>
  </w:style>
  <w:style w:type="paragraph" w:styleId="10">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table" w:styleId="13">
    <w:name w:val="Table Grid"/>
    <w:basedOn w:val="12"/>
    <w:unhideWhenUsed/>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4">
    <w:name w:val="页眉 Char"/>
    <w:basedOn w:val="11"/>
    <w:link w:val="10"/>
    <w:qFormat/>
    <w:uiPriority w:val="99"/>
    <w:rPr>
      <w:sz w:val="18"/>
      <w:szCs w:val="18"/>
    </w:rPr>
  </w:style>
  <w:style w:type="character" w:customStyle="1" w:styleId="15">
    <w:name w:val="页脚 Char"/>
    <w:basedOn w:val="11"/>
    <w:link w:val="9"/>
    <w:qFormat/>
    <w:uiPriority w:val="99"/>
    <w:rPr>
      <w:sz w:val="18"/>
      <w:szCs w:val="18"/>
    </w:rPr>
  </w:style>
  <w:style w:type="character" w:customStyle="1" w:styleId="16">
    <w:name w:val="标题 1 Char"/>
    <w:basedOn w:val="11"/>
    <w:link w:val="2"/>
    <w:qFormat/>
    <w:uiPriority w:val="9"/>
    <w:rPr>
      <w:rFonts w:eastAsia="方正小标宋简体"/>
      <w:b/>
      <w:bCs/>
      <w:kern w:val="44"/>
      <w:sz w:val="44"/>
      <w:szCs w:val="44"/>
    </w:rPr>
  </w:style>
  <w:style w:type="character" w:customStyle="1" w:styleId="17">
    <w:name w:val="批注框文本 Char"/>
    <w:basedOn w:val="11"/>
    <w:link w:val="8"/>
    <w:semiHidden/>
    <w:qFormat/>
    <w:uiPriority w:val="99"/>
    <w:rPr>
      <w:rFonts w:eastAsia="仿宋"/>
      <w:sz w:val="18"/>
      <w:szCs w:val="18"/>
    </w:rPr>
  </w:style>
  <w:style w:type="paragraph" w:customStyle="1" w:styleId="18">
    <w:name w:val="列出段落1"/>
    <w:basedOn w:val="1"/>
    <w:qFormat/>
    <w:uiPriority w:val="34"/>
    <w:pPr>
      <w:ind w:firstLine="420"/>
    </w:pPr>
  </w:style>
  <w:style w:type="table" w:customStyle="1" w:styleId="19">
    <w:name w:val="网格型浅色1"/>
    <w:basedOn w:val="12"/>
    <w:qFormat/>
    <w:uiPriority w:val="4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cPr>
      <w:shd w:val="clear" w:color="auto" w:fill="FFFFFF" w:themeFill="background1"/>
    </w:tcPr>
  </w:style>
  <w:style w:type="paragraph" w:customStyle="1" w:styleId="20">
    <w:name w:val="列出段落2"/>
    <w:basedOn w:val="1"/>
    <w:qFormat/>
    <w:uiPriority w:val="99"/>
    <w:pPr>
      <w:ind w:firstLine="420"/>
    </w:pPr>
  </w:style>
  <w:style w:type="paragraph" w:customStyle="1" w:styleId="21">
    <w:name w:val="列出段落3"/>
    <w:basedOn w:val="1"/>
    <w:qFormat/>
    <w:uiPriority w:val="99"/>
    <w:pPr>
      <w:ind w:firstLine="420"/>
    </w:pPr>
  </w:style>
  <w:style w:type="table" w:customStyle="1" w:styleId="22">
    <w:name w:val="网格型1"/>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430</Words>
  <Characters>2453</Characters>
  <Lines>20</Lines>
  <Paragraphs>5</Paragraphs>
  <TotalTime>0</TotalTime>
  <ScaleCrop>false</ScaleCrop>
  <LinksUpToDate>false</LinksUpToDate>
  <CharactersWithSpaces>2878</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2017-04-10T01:18:00Z</dcterms:created>
  <dc:creator>李森</dc:creator>
  <cp:lastModifiedBy>user</cp:lastModifiedBy>
  <cp:lastPrinted>2018-11-29T07:23:00Z</cp:lastPrinted>
  <dcterms:modified xsi:type="dcterms:W3CDTF">2018-12-05T08:59:05Z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