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autoSpaceDN w:val="0"/>
        <w:spacing w:line="440" w:lineRule="atLeast"/>
        <w:jc w:val="center"/>
        <w:rPr>
          <w:rFonts w:ascii="Arial" w:hAnsi="Arial" w:cs="Arial"/>
          <w:b/>
          <w:bCs/>
          <w:color w:val="333333"/>
          <w:kern w:val="0"/>
          <w:sz w:val="35"/>
          <w:szCs w:val="35"/>
        </w:rPr>
      </w:pPr>
      <w:r>
        <w:rPr>
          <w:rFonts w:hint="eastAsia" w:ascii="Arial" w:hAnsi="Arial" w:cs="Arial"/>
          <w:b/>
          <w:bCs/>
          <w:color w:val="333333"/>
          <w:kern w:val="0"/>
          <w:sz w:val="35"/>
          <w:szCs w:val="35"/>
        </w:rPr>
        <w:t>延长至黄龙、宁陕至石泉高速公路</w:t>
      </w:r>
      <w:r>
        <w:rPr>
          <w:rFonts w:ascii="Arial" w:hAnsi="Arial" w:cs="Arial"/>
          <w:b/>
          <w:bCs/>
          <w:color w:val="333333"/>
          <w:kern w:val="0"/>
          <w:sz w:val="35"/>
          <w:szCs w:val="35"/>
        </w:rPr>
        <w:t>PPP</w:t>
      </w:r>
      <w:r>
        <w:rPr>
          <w:rFonts w:hint="eastAsia" w:ascii="Arial" w:hAnsi="Arial" w:cs="Arial"/>
          <w:b/>
          <w:bCs/>
          <w:color w:val="333333"/>
          <w:kern w:val="0"/>
          <w:sz w:val="35"/>
          <w:szCs w:val="35"/>
        </w:rPr>
        <w:t>项目社会</w:t>
      </w:r>
    </w:p>
    <w:p>
      <w:pPr>
        <w:autoSpaceDN w:val="0"/>
        <w:spacing w:line="440" w:lineRule="atLeast"/>
        <w:jc w:val="center"/>
        <w:rPr>
          <w:rFonts w:ascii="Arial" w:hAnsi="Arial" w:cs="Arial"/>
          <w:b/>
          <w:bCs/>
          <w:color w:val="333333"/>
          <w:kern w:val="0"/>
          <w:sz w:val="35"/>
          <w:szCs w:val="35"/>
        </w:rPr>
      </w:pPr>
      <w:r>
        <w:rPr>
          <w:rFonts w:hint="eastAsia" w:ascii="Arial" w:hAnsi="Arial" w:cs="Arial"/>
          <w:b/>
          <w:bCs/>
          <w:color w:val="333333"/>
          <w:kern w:val="0"/>
          <w:sz w:val="35"/>
          <w:szCs w:val="35"/>
        </w:rPr>
        <w:t>投资人招标通过资格预审申请人单位公示</w:t>
      </w:r>
    </w:p>
    <w:p>
      <w:pPr>
        <w:autoSpaceDN w:val="0"/>
        <w:spacing w:line="440" w:lineRule="atLeast"/>
        <w:ind w:firstLine="640" w:firstLineChars="200"/>
        <w:jc w:val="left"/>
        <w:rPr>
          <w:rFonts w:hint="eastAsia" w:ascii="仿宋_GB2312" w:hAnsi="宋体" w:eastAsia="仿宋_GB2312" w:cs="宋体"/>
          <w:color w:val="000000"/>
          <w:kern w:val="0"/>
          <w:sz w:val="32"/>
          <w:szCs w:val="32"/>
        </w:rPr>
      </w:pPr>
    </w:p>
    <w:p>
      <w:pPr>
        <w:autoSpaceDN w:val="0"/>
        <w:spacing w:line="440" w:lineRule="atLeast"/>
        <w:ind w:firstLine="640" w:firstLineChars="200"/>
        <w:jc w:val="left"/>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延长至黄龙、宁陕至石泉高速公路</w:t>
      </w:r>
      <w:r>
        <w:rPr>
          <w:rFonts w:ascii="仿宋_GB2312" w:hAnsi="宋体" w:eastAsia="仿宋_GB2312" w:cs="宋体"/>
          <w:color w:val="000000"/>
          <w:kern w:val="0"/>
          <w:sz w:val="32"/>
          <w:szCs w:val="32"/>
        </w:rPr>
        <w:t>PPP</w:t>
      </w:r>
      <w:r>
        <w:rPr>
          <w:rFonts w:hint="eastAsia" w:ascii="仿宋_GB2312" w:hAnsi="宋体" w:eastAsia="仿宋_GB2312" w:cs="宋体"/>
          <w:color w:val="000000"/>
          <w:kern w:val="0"/>
          <w:sz w:val="32"/>
          <w:szCs w:val="32"/>
        </w:rPr>
        <w:t>项目社会投资人招标资格预审在国内进行公开招标。本项目于</w:t>
      </w:r>
      <w:r>
        <w:rPr>
          <w:rFonts w:ascii="仿宋_GB2312" w:hAnsi="宋体" w:eastAsia="仿宋_GB2312" w:cs="宋体"/>
          <w:color w:val="000000"/>
          <w:kern w:val="0"/>
          <w:sz w:val="32"/>
          <w:szCs w:val="32"/>
        </w:rPr>
        <w:t>2017</w:t>
      </w:r>
      <w:r>
        <w:rPr>
          <w:rFonts w:hint="eastAsia" w:ascii="仿宋_GB2312" w:hAnsi="宋体" w:eastAsia="仿宋_GB2312" w:cs="宋体"/>
          <w:color w:val="000000"/>
          <w:kern w:val="0"/>
          <w:sz w:val="32"/>
          <w:szCs w:val="32"/>
        </w:rPr>
        <w:t>年</w:t>
      </w:r>
      <w:r>
        <w:rPr>
          <w:rFonts w:ascii="仿宋_GB2312" w:hAnsi="宋体" w:eastAsia="仿宋_GB2312" w:cs="宋体"/>
          <w:color w:val="000000"/>
          <w:kern w:val="0"/>
          <w:sz w:val="32"/>
          <w:szCs w:val="32"/>
        </w:rPr>
        <w:t>8</w:t>
      </w:r>
      <w:r>
        <w:rPr>
          <w:rFonts w:hint="eastAsia" w:ascii="仿宋_GB2312" w:hAnsi="宋体" w:eastAsia="仿宋_GB2312" w:cs="宋体"/>
          <w:color w:val="000000"/>
          <w:kern w:val="0"/>
          <w:sz w:val="32"/>
          <w:szCs w:val="32"/>
        </w:rPr>
        <w:t>月</w:t>
      </w:r>
      <w:r>
        <w:rPr>
          <w:rFonts w:ascii="仿宋_GB2312" w:hAnsi="宋体" w:eastAsia="仿宋_GB2312" w:cs="宋体"/>
          <w:color w:val="000000"/>
          <w:kern w:val="0"/>
          <w:sz w:val="32"/>
          <w:szCs w:val="32"/>
        </w:rPr>
        <w:t>29</w:t>
      </w:r>
      <w:r>
        <w:rPr>
          <w:rFonts w:hint="eastAsia" w:ascii="仿宋_GB2312" w:hAnsi="宋体" w:eastAsia="仿宋_GB2312" w:cs="宋体"/>
          <w:color w:val="000000"/>
          <w:kern w:val="0"/>
          <w:sz w:val="32"/>
          <w:szCs w:val="32"/>
        </w:rPr>
        <w:t>日完成了资格预审审查工作。现将通过资格预审申请人单位公示如下：</w:t>
      </w:r>
    </w:p>
    <w:tbl>
      <w:tblPr>
        <w:tblStyle w:val="7"/>
        <w:tblW w:w="8195" w:type="dxa"/>
        <w:jc w:val="center"/>
        <w:tblInd w:w="39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574"/>
        <w:gridCol w:w="3187"/>
        <w:gridCol w:w="443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74" w:hRule="atLeast"/>
          <w:jc w:val="center"/>
        </w:trPr>
        <w:tc>
          <w:tcPr>
            <w:tcW w:w="57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b/>
                <w:kern w:val="0"/>
                <w:sz w:val="24"/>
              </w:rPr>
            </w:pPr>
            <w:r>
              <w:rPr>
                <w:rFonts w:hint="eastAsia" w:ascii="宋体" w:hAnsi="宋体" w:cs="宋体"/>
                <w:b/>
                <w:kern w:val="0"/>
                <w:sz w:val="24"/>
              </w:rPr>
              <w:t>序号</w:t>
            </w:r>
          </w:p>
        </w:tc>
        <w:tc>
          <w:tcPr>
            <w:tcW w:w="3187" w:type="dxa"/>
            <w:tcBorders>
              <w:top w:val="single" w:color="auto" w:sz="4" w:space="0"/>
              <w:left w:val="nil"/>
              <w:bottom w:val="single" w:color="auto" w:sz="4" w:space="0"/>
              <w:right w:val="single" w:color="auto" w:sz="4" w:space="0"/>
            </w:tcBorders>
            <w:vAlign w:val="center"/>
          </w:tcPr>
          <w:p>
            <w:pPr>
              <w:widowControl/>
              <w:jc w:val="center"/>
              <w:rPr>
                <w:rFonts w:ascii="宋体" w:cs="宋体"/>
                <w:b/>
                <w:kern w:val="0"/>
                <w:sz w:val="24"/>
              </w:rPr>
            </w:pPr>
            <w:r>
              <w:rPr>
                <w:rFonts w:hint="eastAsia" w:ascii="宋体" w:hAnsi="宋体" w:cs="宋体"/>
                <w:b/>
                <w:kern w:val="0"/>
                <w:sz w:val="24"/>
              </w:rPr>
              <w:t>联合体申请人牵头人</w:t>
            </w:r>
          </w:p>
          <w:p>
            <w:pPr>
              <w:widowControl/>
              <w:jc w:val="center"/>
              <w:rPr>
                <w:rFonts w:ascii="宋体" w:cs="宋体"/>
                <w:b/>
                <w:kern w:val="0"/>
                <w:sz w:val="24"/>
              </w:rPr>
            </w:pPr>
            <w:r>
              <w:rPr>
                <w:rFonts w:hint="eastAsia" w:ascii="宋体" w:hAnsi="宋体" w:cs="宋体"/>
                <w:b/>
                <w:kern w:val="0"/>
                <w:sz w:val="24"/>
              </w:rPr>
              <w:t>（独立申请人）</w:t>
            </w:r>
          </w:p>
        </w:tc>
        <w:tc>
          <w:tcPr>
            <w:tcW w:w="4434" w:type="dxa"/>
            <w:tcBorders>
              <w:top w:val="single" w:color="auto" w:sz="4" w:space="0"/>
              <w:left w:val="nil"/>
              <w:bottom w:val="single" w:color="auto" w:sz="4" w:space="0"/>
              <w:right w:val="single" w:color="auto" w:sz="4" w:space="0"/>
            </w:tcBorders>
            <w:vAlign w:val="center"/>
          </w:tcPr>
          <w:p>
            <w:pPr>
              <w:widowControl/>
              <w:jc w:val="center"/>
              <w:rPr>
                <w:rFonts w:ascii="宋体" w:cs="宋体"/>
                <w:b/>
                <w:kern w:val="0"/>
                <w:sz w:val="24"/>
              </w:rPr>
            </w:pPr>
            <w:r>
              <w:rPr>
                <w:rFonts w:hint="eastAsia" w:ascii="宋体" w:hAnsi="宋体" w:cs="宋体"/>
                <w:b/>
                <w:kern w:val="0"/>
                <w:sz w:val="24"/>
              </w:rPr>
              <w:t>联合体成员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09" w:hRule="atLeast"/>
          <w:jc w:val="center"/>
        </w:trPr>
        <w:tc>
          <w:tcPr>
            <w:tcW w:w="574" w:type="dxa"/>
            <w:tcBorders>
              <w:top w:val="nil"/>
              <w:left w:val="single" w:color="auto" w:sz="4" w:space="0"/>
              <w:bottom w:val="single" w:color="auto" w:sz="4" w:space="0"/>
              <w:right w:val="single" w:color="auto" w:sz="4" w:space="0"/>
            </w:tcBorders>
            <w:vAlign w:val="center"/>
          </w:tcPr>
          <w:p>
            <w:pPr>
              <w:widowControl/>
              <w:jc w:val="center"/>
              <w:rPr>
                <w:rFonts w:ascii="宋体" w:cs="宋体"/>
                <w:kern w:val="0"/>
                <w:szCs w:val="21"/>
              </w:rPr>
            </w:pPr>
            <w:r>
              <w:rPr>
                <w:rFonts w:ascii="宋体" w:hAnsi="宋体" w:cs="宋体"/>
                <w:kern w:val="0"/>
                <w:szCs w:val="21"/>
              </w:rPr>
              <w:t>1</w:t>
            </w:r>
          </w:p>
        </w:tc>
        <w:tc>
          <w:tcPr>
            <w:tcW w:w="3187" w:type="dxa"/>
            <w:tcBorders>
              <w:top w:val="nil"/>
              <w:left w:val="nil"/>
              <w:bottom w:val="single" w:color="auto" w:sz="4" w:space="0"/>
              <w:right w:val="single" w:color="auto" w:sz="4" w:space="0"/>
            </w:tcBorders>
            <w:vAlign w:val="center"/>
          </w:tcPr>
          <w:p>
            <w:pPr>
              <w:jc w:val="center"/>
              <w:rPr>
                <w:rFonts w:ascii="仿宋_GB2312" w:hAnsi="宋体" w:eastAsia="仿宋_GB2312" w:cs="宋体"/>
                <w:sz w:val="20"/>
              </w:rPr>
            </w:pPr>
            <w:r>
              <w:rPr>
                <w:rFonts w:hint="eastAsia" w:ascii="仿宋_GB2312" w:eastAsia="仿宋_GB2312"/>
                <w:sz w:val="20"/>
              </w:rPr>
              <w:t>中国葛洲坝集团股份有限公司</w:t>
            </w:r>
          </w:p>
        </w:tc>
        <w:tc>
          <w:tcPr>
            <w:tcW w:w="4434" w:type="dxa"/>
            <w:tcBorders>
              <w:top w:val="nil"/>
              <w:left w:val="nil"/>
              <w:bottom w:val="single" w:color="auto" w:sz="4" w:space="0"/>
              <w:right w:val="single" w:color="auto" w:sz="4" w:space="0"/>
            </w:tcBorders>
            <w:vAlign w:val="center"/>
          </w:tcPr>
          <w:p>
            <w:pPr>
              <w:jc w:val="center"/>
              <w:rPr>
                <w:rFonts w:ascii="仿宋_GB2312" w:hAnsi="宋体" w:eastAsia="仿宋_GB2312" w:cs="宋体"/>
                <w:sz w:val="20"/>
              </w:rPr>
            </w:pPr>
            <w:r>
              <w:rPr>
                <w:rFonts w:hint="eastAsia" w:ascii="仿宋_GB2312" w:eastAsia="仿宋_GB2312"/>
                <w:sz w:val="20"/>
              </w:rPr>
              <w:t>百和六号（深圳）投资合伙企业（有限合伙）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09" w:hRule="atLeast"/>
          <w:jc w:val="center"/>
        </w:trPr>
        <w:tc>
          <w:tcPr>
            <w:tcW w:w="574" w:type="dxa"/>
            <w:tcBorders>
              <w:top w:val="nil"/>
              <w:left w:val="single" w:color="auto" w:sz="4" w:space="0"/>
              <w:bottom w:val="single" w:color="auto" w:sz="4" w:space="0"/>
              <w:right w:val="single" w:color="auto" w:sz="4" w:space="0"/>
            </w:tcBorders>
            <w:vAlign w:val="center"/>
          </w:tcPr>
          <w:p>
            <w:pPr>
              <w:widowControl/>
              <w:jc w:val="center"/>
              <w:rPr>
                <w:rFonts w:ascii="宋体" w:cs="宋体"/>
                <w:kern w:val="0"/>
                <w:szCs w:val="21"/>
              </w:rPr>
            </w:pPr>
            <w:r>
              <w:rPr>
                <w:rFonts w:ascii="宋体" w:hAnsi="宋体" w:cs="宋体"/>
                <w:kern w:val="0"/>
                <w:szCs w:val="21"/>
              </w:rPr>
              <w:t>2</w:t>
            </w:r>
          </w:p>
        </w:tc>
        <w:tc>
          <w:tcPr>
            <w:tcW w:w="3187" w:type="dxa"/>
            <w:tcBorders>
              <w:top w:val="nil"/>
              <w:left w:val="nil"/>
              <w:bottom w:val="single" w:color="auto" w:sz="4" w:space="0"/>
              <w:right w:val="single" w:color="auto" w:sz="4" w:space="0"/>
            </w:tcBorders>
            <w:vAlign w:val="center"/>
          </w:tcPr>
          <w:p>
            <w:pPr>
              <w:jc w:val="center"/>
              <w:rPr>
                <w:rFonts w:ascii="仿宋_GB2312" w:hAnsi="宋体" w:eastAsia="仿宋_GB2312" w:cs="宋体"/>
                <w:sz w:val="20"/>
              </w:rPr>
            </w:pPr>
            <w:r>
              <w:rPr>
                <w:rFonts w:hint="eastAsia" w:ascii="仿宋_GB2312" w:eastAsia="仿宋_GB2312"/>
                <w:sz w:val="20"/>
              </w:rPr>
              <w:t>中国交通建设股份有限公司</w:t>
            </w:r>
          </w:p>
        </w:tc>
        <w:tc>
          <w:tcPr>
            <w:tcW w:w="4434" w:type="dxa"/>
            <w:tcBorders>
              <w:top w:val="nil"/>
              <w:left w:val="nil"/>
              <w:bottom w:val="single" w:color="auto" w:sz="4" w:space="0"/>
              <w:right w:val="single" w:color="auto" w:sz="4" w:space="0"/>
            </w:tcBorders>
            <w:vAlign w:val="center"/>
          </w:tcPr>
          <w:p>
            <w:pPr>
              <w:jc w:val="center"/>
              <w:rPr>
                <w:rFonts w:ascii="仿宋_GB2312" w:hAnsi="宋体" w:eastAsia="仿宋_GB2312" w:cs="宋体"/>
                <w:sz w:val="20"/>
              </w:rPr>
            </w:pPr>
            <w:r>
              <w:rPr>
                <w:rFonts w:hint="eastAsia" w:ascii="仿宋_GB2312" w:eastAsia="仿宋_GB2312"/>
                <w:sz w:val="20"/>
              </w:rPr>
              <w:t>中交路桥建设有限公司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09" w:hRule="atLeast"/>
          <w:jc w:val="center"/>
        </w:trPr>
        <w:tc>
          <w:tcPr>
            <w:tcW w:w="574"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Cs w:val="21"/>
              </w:rPr>
            </w:pPr>
            <w:r>
              <w:rPr>
                <w:rFonts w:ascii="宋体" w:hAnsi="宋体" w:cs="宋体"/>
                <w:kern w:val="0"/>
                <w:szCs w:val="21"/>
              </w:rPr>
              <w:t>3</w:t>
            </w:r>
          </w:p>
        </w:tc>
        <w:tc>
          <w:tcPr>
            <w:tcW w:w="3187" w:type="dxa"/>
            <w:tcBorders>
              <w:top w:val="nil"/>
              <w:left w:val="nil"/>
              <w:bottom w:val="single" w:color="auto" w:sz="4" w:space="0"/>
              <w:right w:val="single" w:color="auto" w:sz="4" w:space="0"/>
            </w:tcBorders>
            <w:vAlign w:val="center"/>
          </w:tcPr>
          <w:p>
            <w:pPr>
              <w:jc w:val="center"/>
              <w:rPr>
                <w:rFonts w:ascii="仿宋_GB2312" w:hAnsi="宋体" w:eastAsia="仿宋_GB2312" w:cs="宋体"/>
                <w:sz w:val="20"/>
              </w:rPr>
            </w:pPr>
            <w:r>
              <w:rPr>
                <w:rFonts w:hint="eastAsia" w:ascii="仿宋_GB2312" w:eastAsia="仿宋_GB2312"/>
                <w:sz w:val="20"/>
              </w:rPr>
              <w:t>中国中铁股份有限公司</w:t>
            </w:r>
          </w:p>
        </w:tc>
        <w:tc>
          <w:tcPr>
            <w:tcW w:w="4434" w:type="dxa"/>
            <w:tcBorders>
              <w:top w:val="nil"/>
              <w:left w:val="nil"/>
              <w:bottom w:val="single" w:color="auto" w:sz="4" w:space="0"/>
              <w:right w:val="single" w:color="auto" w:sz="4" w:space="0"/>
            </w:tcBorders>
            <w:vAlign w:val="center"/>
          </w:tcPr>
          <w:p>
            <w:pPr>
              <w:jc w:val="center"/>
              <w:rPr>
                <w:rFonts w:ascii="仿宋_GB2312" w:hAnsi="宋体" w:eastAsia="仿宋_GB2312" w:cs="宋体"/>
                <w:sz w:val="20"/>
              </w:rPr>
            </w:pPr>
            <w:r>
              <w:rPr>
                <w:rFonts w:hint="eastAsia" w:ascii="仿宋_GB2312" w:eastAsia="仿宋_GB2312"/>
                <w:sz w:val="20"/>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09" w:hRule="atLeast"/>
          <w:jc w:val="center"/>
        </w:trPr>
        <w:tc>
          <w:tcPr>
            <w:tcW w:w="574"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Cs w:val="21"/>
              </w:rPr>
            </w:pPr>
            <w:r>
              <w:rPr>
                <w:rFonts w:ascii="宋体" w:hAnsi="宋体" w:cs="宋体"/>
                <w:kern w:val="0"/>
                <w:szCs w:val="21"/>
              </w:rPr>
              <w:t>4</w:t>
            </w:r>
          </w:p>
        </w:tc>
        <w:tc>
          <w:tcPr>
            <w:tcW w:w="3187" w:type="dxa"/>
            <w:tcBorders>
              <w:top w:val="nil"/>
              <w:left w:val="nil"/>
              <w:bottom w:val="single" w:color="auto" w:sz="4" w:space="0"/>
              <w:right w:val="single" w:color="auto" w:sz="4" w:space="0"/>
            </w:tcBorders>
            <w:vAlign w:val="center"/>
          </w:tcPr>
          <w:p>
            <w:pPr>
              <w:jc w:val="center"/>
              <w:rPr>
                <w:rFonts w:ascii="仿宋_GB2312" w:hAnsi="宋体" w:eastAsia="仿宋_GB2312" w:cs="宋体"/>
                <w:sz w:val="20"/>
              </w:rPr>
            </w:pPr>
            <w:r>
              <w:rPr>
                <w:rFonts w:hint="eastAsia" w:ascii="仿宋_GB2312" w:eastAsia="仿宋_GB2312"/>
                <w:sz w:val="20"/>
              </w:rPr>
              <w:t>中国铁建股份有限公司</w:t>
            </w:r>
          </w:p>
        </w:tc>
        <w:tc>
          <w:tcPr>
            <w:tcW w:w="4434" w:type="dxa"/>
            <w:tcBorders>
              <w:top w:val="nil"/>
              <w:left w:val="nil"/>
              <w:bottom w:val="single" w:color="auto" w:sz="4" w:space="0"/>
              <w:right w:val="single" w:color="auto" w:sz="4" w:space="0"/>
            </w:tcBorders>
            <w:vAlign w:val="center"/>
          </w:tcPr>
          <w:p>
            <w:pPr>
              <w:jc w:val="center"/>
              <w:rPr>
                <w:rFonts w:ascii="仿宋_GB2312" w:hAnsi="宋体" w:eastAsia="仿宋_GB2312" w:cs="宋体"/>
                <w:sz w:val="20"/>
              </w:rPr>
            </w:pPr>
            <w:r>
              <w:rPr>
                <w:rFonts w:hint="eastAsia" w:ascii="仿宋_GB2312" w:eastAsia="仿宋_GB2312"/>
                <w:sz w:val="20"/>
              </w:rPr>
              <w:t>中铁十二局集团有限公司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09" w:hRule="atLeast"/>
          <w:jc w:val="center"/>
        </w:trPr>
        <w:tc>
          <w:tcPr>
            <w:tcW w:w="574" w:type="dxa"/>
            <w:tcBorders>
              <w:top w:val="nil"/>
              <w:left w:val="single" w:color="auto" w:sz="4" w:space="0"/>
              <w:bottom w:val="single" w:color="auto" w:sz="4" w:space="0"/>
              <w:right w:val="single" w:color="auto" w:sz="4" w:space="0"/>
            </w:tcBorders>
            <w:vAlign w:val="center"/>
          </w:tcPr>
          <w:p>
            <w:pPr>
              <w:widowControl/>
              <w:jc w:val="center"/>
              <w:rPr>
                <w:rFonts w:ascii="宋体" w:cs="宋体"/>
                <w:kern w:val="0"/>
                <w:szCs w:val="21"/>
              </w:rPr>
            </w:pPr>
            <w:r>
              <w:rPr>
                <w:rFonts w:ascii="宋体" w:hAnsi="宋体" w:cs="宋体"/>
                <w:kern w:val="0"/>
                <w:szCs w:val="21"/>
              </w:rPr>
              <w:t>5</w:t>
            </w:r>
          </w:p>
        </w:tc>
        <w:tc>
          <w:tcPr>
            <w:tcW w:w="3187" w:type="dxa"/>
            <w:tcBorders>
              <w:top w:val="nil"/>
              <w:left w:val="nil"/>
              <w:bottom w:val="single" w:color="auto" w:sz="4" w:space="0"/>
              <w:right w:val="single" w:color="auto" w:sz="4" w:space="0"/>
            </w:tcBorders>
            <w:vAlign w:val="center"/>
          </w:tcPr>
          <w:p>
            <w:pPr>
              <w:jc w:val="center"/>
              <w:rPr>
                <w:rFonts w:ascii="仿宋_GB2312" w:hAnsi="宋体" w:eastAsia="仿宋_GB2312" w:cs="宋体"/>
                <w:sz w:val="20"/>
              </w:rPr>
            </w:pPr>
            <w:r>
              <w:rPr>
                <w:rFonts w:hint="eastAsia" w:ascii="仿宋_GB2312" w:eastAsia="仿宋_GB2312"/>
                <w:sz w:val="20"/>
              </w:rPr>
              <w:t>中国电力建设股份有限公司</w:t>
            </w:r>
          </w:p>
        </w:tc>
        <w:tc>
          <w:tcPr>
            <w:tcW w:w="4434" w:type="dxa"/>
            <w:tcBorders>
              <w:top w:val="nil"/>
              <w:left w:val="nil"/>
              <w:bottom w:val="single" w:color="auto" w:sz="4" w:space="0"/>
              <w:right w:val="single" w:color="auto" w:sz="4" w:space="0"/>
            </w:tcBorders>
            <w:vAlign w:val="center"/>
          </w:tcPr>
          <w:p>
            <w:pPr>
              <w:jc w:val="center"/>
              <w:rPr>
                <w:rFonts w:ascii="仿宋_GB2312" w:hAnsi="宋体" w:eastAsia="仿宋_GB2312" w:cs="宋体"/>
                <w:sz w:val="20"/>
              </w:rPr>
            </w:pPr>
            <w:r>
              <w:rPr>
                <w:rFonts w:hint="eastAsia" w:ascii="仿宋_GB2312" w:eastAsia="仿宋_GB2312"/>
                <w:sz w:val="20"/>
              </w:rPr>
              <w:t>中电建路桥集团有限公司</w:t>
            </w:r>
          </w:p>
        </w:tc>
      </w:tr>
    </w:tbl>
    <w:p>
      <w:pPr>
        <w:widowControl/>
        <w:shd w:val="clear" w:color="auto" w:fill="FFFFFF"/>
        <w:spacing w:line="560" w:lineRule="exact"/>
        <w:ind w:firstLine="482"/>
        <w:jc w:val="left"/>
        <w:rPr>
          <w:rFonts w:ascii="仿宋_GB2312" w:eastAsia="仿宋_GB2312" w:cs="宋体"/>
          <w:color w:val="000000"/>
          <w:kern w:val="0"/>
          <w:sz w:val="32"/>
          <w:szCs w:val="32"/>
        </w:rPr>
      </w:pPr>
      <w:r>
        <w:rPr>
          <w:rFonts w:hint="eastAsia" w:ascii="仿宋_GB2312" w:hAnsi="宋体" w:eastAsia="仿宋_GB2312" w:cs="宋体"/>
          <w:color w:val="000000"/>
          <w:kern w:val="0"/>
          <w:sz w:val="32"/>
          <w:szCs w:val="32"/>
        </w:rPr>
        <w:t>以上资格预审审查结果接受社会监督，本次资格预审审查活动的申请人或有其他利害关系人对上述公示持有异议的，请于公示发布之日起</w:t>
      </w:r>
      <w:r>
        <w:rPr>
          <w:rFonts w:ascii="仿宋_GB2312" w:hAnsi="宋体" w:eastAsia="仿宋_GB2312" w:cs="宋体"/>
          <w:color w:val="000000"/>
          <w:kern w:val="0"/>
          <w:sz w:val="32"/>
          <w:szCs w:val="32"/>
        </w:rPr>
        <w:t>3</w:t>
      </w:r>
      <w:r>
        <w:rPr>
          <w:rFonts w:hint="eastAsia" w:ascii="仿宋_GB2312" w:hAnsi="宋体" w:eastAsia="仿宋_GB2312" w:cs="宋体"/>
          <w:color w:val="000000"/>
          <w:kern w:val="0"/>
          <w:sz w:val="32"/>
          <w:szCs w:val="32"/>
        </w:rPr>
        <w:t>日内以书面形式向招标人提出，提出人应当有明确的请求和必要的证明材料。个人提出异议的，应当在提出异议材料上签署真实姓名，签字并附有效身份证明复印件。以单位名义提出异议的，应由法人代表签字并加盖本单位公章。异议提出人如在招标人答复后仍存异议，可按照交通运输部令</w:t>
      </w:r>
      <w:r>
        <w:rPr>
          <w:rFonts w:ascii="仿宋_GB2312" w:hAnsi="宋体" w:eastAsia="仿宋_GB2312" w:cs="宋体"/>
          <w:color w:val="000000"/>
          <w:kern w:val="0"/>
          <w:sz w:val="32"/>
          <w:szCs w:val="32"/>
        </w:rPr>
        <w:t>2015</w:t>
      </w:r>
      <w:r>
        <w:rPr>
          <w:rFonts w:hint="eastAsia" w:ascii="仿宋_GB2312" w:hAnsi="宋体" w:eastAsia="仿宋_GB2312" w:cs="宋体"/>
          <w:color w:val="000000"/>
          <w:kern w:val="0"/>
          <w:sz w:val="32"/>
          <w:szCs w:val="32"/>
        </w:rPr>
        <w:t>年</w:t>
      </w:r>
      <w:r>
        <w:rPr>
          <w:rFonts w:ascii="仿宋_GB2312" w:hAnsi="宋体" w:eastAsia="仿宋_GB2312" w:cs="宋体"/>
          <w:color w:val="000000"/>
          <w:kern w:val="0"/>
          <w:sz w:val="32"/>
          <w:szCs w:val="32"/>
        </w:rPr>
        <w:t>24</w:t>
      </w:r>
      <w:r>
        <w:rPr>
          <w:rFonts w:hint="eastAsia" w:ascii="仿宋_GB2312" w:hAnsi="宋体" w:eastAsia="仿宋_GB2312" w:cs="宋体"/>
          <w:color w:val="000000"/>
          <w:kern w:val="0"/>
          <w:sz w:val="32"/>
          <w:szCs w:val="32"/>
        </w:rPr>
        <w:t>号第六十三、六十四条有关规定，向陕西省交通运输厅提出投诉。陕西省交通运输厅将按照《中华人民共和国招标投标法实施条例》等有关制度认真处理。投诉电话：</w:t>
      </w:r>
      <w:r>
        <w:rPr>
          <w:rFonts w:ascii="仿宋_GB2312" w:hAnsi="宋体" w:eastAsia="仿宋_GB2312" w:cs="宋体"/>
          <w:color w:val="000000"/>
          <w:kern w:val="0"/>
          <w:sz w:val="32"/>
          <w:szCs w:val="32"/>
        </w:rPr>
        <w:t>029</w:t>
      </w:r>
      <w:r>
        <w:rPr>
          <w:rFonts w:hint="eastAsia" w:ascii="仿宋_GB2312" w:hAnsi="宋体" w:eastAsia="仿宋_GB2312" w:cs="宋体"/>
          <w:color w:val="000000"/>
          <w:kern w:val="0"/>
          <w:sz w:val="32"/>
          <w:szCs w:val="32"/>
        </w:rPr>
        <w:t>－</w:t>
      </w:r>
      <w:r>
        <w:rPr>
          <w:rFonts w:ascii="仿宋_GB2312" w:hAnsi="宋体" w:eastAsia="仿宋_GB2312" w:cs="宋体"/>
          <w:color w:val="000000"/>
          <w:kern w:val="0"/>
          <w:sz w:val="32"/>
          <w:szCs w:val="32"/>
        </w:rPr>
        <w:t xml:space="preserve">88869191 </w:t>
      </w:r>
      <w:r>
        <w:rPr>
          <w:rFonts w:hint="eastAsia" w:ascii="仿宋_GB2312" w:hAnsi="宋体" w:eastAsia="仿宋_GB2312" w:cs="宋体"/>
          <w:color w:val="000000"/>
          <w:kern w:val="0"/>
          <w:sz w:val="32"/>
          <w:szCs w:val="32"/>
        </w:rPr>
        <w:t>。</w:t>
      </w:r>
    </w:p>
    <w:p>
      <w:pPr>
        <w:widowControl/>
        <w:shd w:val="clear" w:color="auto" w:fill="FFFFFF"/>
        <w:spacing w:line="560" w:lineRule="exact"/>
        <w:ind w:firstLine="482"/>
        <w:jc w:val="left"/>
        <w:rPr>
          <w:rFonts w:ascii="仿宋_GB2312" w:eastAsia="仿宋_GB2312" w:cs="宋体"/>
          <w:color w:val="000000"/>
          <w:kern w:val="0"/>
          <w:sz w:val="32"/>
          <w:szCs w:val="32"/>
        </w:rPr>
      </w:pPr>
      <w:r>
        <w:rPr>
          <w:rFonts w:ascii="仿宋_GB2312" w:eastAsia="仿宋_GB2312" w:cs="宋体"/>
          <w:color w:val="000000"/>
          <w:kern w:val="0"/>
          <w:sz w:val="32"/>
          <w:szCs w:val="32"/>
        </w:rPr>
        <w:t> </w:t>
      </w:r>
    </w:p>
    <w:p>
      <w:pPr>
        <w:widowControl/>
        <w:shd w:val="clear" w:color="auto" w:fill="FFFFFF"/>
        <w:spacing w:line="560" w:lineRule="exact"/>
        <w:ind w:firstLine="482"/>
        <w:jc w:val="left"/>
        <w:rPr>
          <w:rFonts w:ascii="仿宋_GB2312" w:eastAsia="仿宋_GB2312" w:cs="宋体"/>
          <w:color w:val="000000"/>
          <w:kern w:val="0"/>
          <w:sz w:val="32"/>
          <w:szCs w:val="32"/>
        </w:rPr>
      </w:pPr>
      <w:r>
        <w:rPr>
          <w:rFonts w:hint="eastAsia" w:ascii="仿宋_GB2312" w:hAnsi="宋体" w:eastAsia="仿宋_GB2312" w:cs="宋体"/>
          <w:color w:val="000000"/>
          <w:kern w:val="0"/>
          <w:sz w:val="32"/>
          <w:szCs w:val="32"/>
        </w:rPr>
        <w:t>附件：</w:t>
      </w:r>
    </w:p>
    <w:p>
      <w:pPr>
        <w:widowControl/>
        <w:shd w:val="clear" w:color="auto" w:fill="FFFFFF"/>
        <w:spacing w:line="560" w:lineRule="exact"/>
        <w:ind w:firstLine="482"/>
        <w:jc w:val="left"/>
        <w:rPr>
          <w:rFonts w:ascii="仿宋_GB2312" w:eastAsia="仿宋_GB2312" w:cs="宋体"/>
          <w:color w:val="000000"/>
          <w:kern w:val="0"/>
          <w:sz w:val="32"/>
          <w:szCs w:val="32"/>
        </w:rPr>
      </w:pPr>
      <w:r>
        <w:rPr>
          <w:rFonts w:ascii="仿宋_GB2312" w:hAnsi="宋体" w:eastAsia="仿宋_GB2312" w:cs="宋体"/>
          <w:color w:val="000000"/>
          <w:kern w:val="0"/>
          <w:sz w:val="32"/>
          <w:szCs w:val="32"/>
        </w:rPr>
        <w:t>1</w:t>
      </w:r>
      <w:r>
        <w:rPr>
          <w:rFonts w:hint="eastAsia" w:ascii="仿宋_GB2312" w:hAnsi="宋体" w:eastAsia="仿宋_GB2312" w:cs="宋体"/>
          <w:color w:val="000000"/>
          <w:kern w:val="0"/>
          <w:sz w:val="32"/>
          <w:szCs w:val="32"/>
        </w:rPr>
        <w:t>．通过资格预审申请人名单；</w:t>
      </w:r>
    </w:p>
    <w:p>
      <w:pPr>
        <w:widowControl/>
        <w:shd w:val="clear" w:color="auto" w:fill="FFFFFF"/>
        <w:spacing w:line="560" w:lineRule="exact"/>
        <w:ind w:firstLine="482"/>
        <w:jc w:val="left"/>
        <w:rPr>
          <w:rFonts w:ascii="仿宋_GB2312" w:eastAsia="仿宋_GB2312" w:cs="宋体"/>
          <w:color w:val="000000"/>
          <w:kern w:val="0"/>
          <w:sz w:val="32"/>
          <w:szCs w:val="32"/>
        </w:rPr>
      </w:pPr>
      <w:r>
        <w:rPr>
          <w:rFonts w:ascii="仿宋_GB2312" w:hAnsi="宋体" w:eastAsia="仿宋_GB2312" w:cs="宋体"/>
          <w:color w:val="000000"/>
          <w:kern w:val="0"/>
          <w:sz w:val="32"/>
          <w:szCs w:val="32"/>
        </w:rPr>
        <w:t>2</w:t>
      </w:r>
      <w:r>
        <w:rPr>
          <w:rFonts w:hint="eastAsia" w:ascii="仿宋_GB2312" w:hAnsi="宋体" w:eastAsia="仿宋_GB2312" w:cs="宋体"/>
          <w:color w:val="000000"/>
          <w:kern w:val="0"/>
          <w:sz w:val="32"/>
          <w:szCs w:val="32"/>
        </w:rPr>
        <w:t>．通过资格预审申请人在资格预审申请文件中填报的主要项目业绩；</w:t>
      </w:r>
    </w:p>
    <w:p>
      <w:pPr>
        <w:widowControl/>
        <w:shd w:val="clear" w:color="auto" w:fill="FFFFFF"/>
        <w:spacing w:line="560" w:lineRule="exact"/>
        <w:ind w:firstLine="482"/>
        <w:jc w:val="left"/>
        <w:rPr>
          <w:rFonts w:ascii="仿宋_GB2312" w:eastAsia="仿宋_GB2312" w:cs="宋体"/>
          <w:color w:val="000000"/>
          <w:kern w:val="0"/>
          <w:sz w:val="32"/>
          <w:szCs w:val="32"/>
        </w:rPr>
      </w:pPr>
    </w:p>
    <w:p>
      <w:pPr>
        <w:widowControl/>
        <w:shd w:val="clear" w:color="auto" w:fill="FFFFFF"/>
        <w:spacing w:line="560" w:lineRule="exact"/>
        <w:ind w:firstLine="482"/>
        <w:jc w:val="center"/>
        <w:rPr>
          <w:rFonts w:ascii="仿宋_GB2312" w:eastAsia="仿宋_GB2312" w:cs="宋体"/>
          <w:color w:val="000000"/>
          <w:kern w:val="0"/>
          <w:sz w:val="32"/>
          <w:szCs w:val="32"/>
        </w:rPr>
      </w:pPr>
      <w:r>
        <w:rPr>
          <w:rFonts w:ascii="仿宋_GB2312" w:hAnsi="宋体" w:eastAsia="仿宋_GB2312" w:cs="宋体"/>
          <w:color w:val="000000"/>
          <w:kern w:val="0"/>
          <w:sz w:val="32"/>
          <w:szCs w:val="32"/>
        </w:rPr>
        <w:t xml:space="preserve">                                </w:t>
      </w:r>
      <w:r>
        <w:rPr>
          <w:rFonts w:hint="eastAsia" w:ascii="仿宋_GB2312" w:hAnsi="宋体" w:eastAsia="仿宋_GB2312" w:cs="宋体"/>
          <w:color w:val="000000"/>
          <w:kern w:val="0"/>
          <w:sz w:val="32"/>
          <w:szCs w:val="32"/>
        </w:rPr>
        <w:t>陕西省交通运输厅</w:t>
      </w:r>
    </w:p>
    <w:p>
      <w:pPr>
        <w:widowControl/>
        <w:shd w:val="clear" w:color="auto" w:fill="FFFFFF"/>
        <w:spacing w:line="560" w:lineRule="exact"/>
        <w:ind w:firstLine="482"/>
        <w:jc w:val="center"/>
        <w:rPr>
          <w:rFonts w:ascii="仿宋_GB2312" w:eastAsia="仿宋_GB2312" w:cs="宋体"/>
          <w:color w:val="000000"/>
          <w:kern w:val="0"/>
          <w:sz w:val="32"/>
          <w:szCs w:val="32"/>
        </w:rPr>
      </w:pPr>
      <w:r>
        <w:rPr>
          <w:rFonts w:ascii="仿宋_GB2312" w:hAnsi="宋体" w:eastAsia="仿宋_GB2312" w:cs="宋体"/>
          <w:color w:val="000000"/>
          <w:kern w:val="0"/>
          <w:sz w:val="32"/>
          <w:szCs w:val="32"/>
        </w:rPr>
        <w:t xml:space="preserve">                                2017</w:t>
      </w:r>
      <w:r>
        <w:rPr>
          <w:rFonts w:hint="eastAsia" w:ascii="仿宋_GB2312" w:hAnsi="宋体" w:eastAsia="仿宋_GB2312" w:cs="宋体"/>
          <w:color w:val="000000"/>
          <w:kern w:val="0"/>
          <w:sz w:val="32"/>
          <w:szCs w:val="32"/>
        </w:rPr>
        <w:t>年</w:t>
      </w:r>
      <w:r>
        <w:rPr>
          <w:rFonts w:ascii="仿宋_GB2312" w:hAnsi="宋体" w:eastAsia="仿宋_GB2312" w:cs="宋体"/>
          <w:color w:val="000000"/>
          <w:kern w:val="0"/>
          <w:sz w:val="32"/>
          <w:szCs w:val="32"/>
        </w:rPr>
        <w:t>8</w:t>
      </w:r>
      <w:r>
        <w:rPr>
          <w:rFonts w:hint="eastAsia" w:ascii="仿宋_GB2312" w:hAnsi="宋体" w:eastAsia="仿宋_GB2312" w:cs="宋体"/>
          <w:color w:val="000000"/>
          <w:kern w:val="0"/>
          <w:sz w:val="32"/>
          <w:szCs w:val="32"/>
        </w:rPr>
        <w:t>月</w:t>
      </w:r>
      <w:r>
        <w:rPr>
          <w:rFonts w:hint="eastAsia" w:ascii="仿宋_GB2312" w:hAnsi="宋体" w:eastAsia="仿宋_GB2312" w:cs="宋体"/>
          <w:color w:val="000000"/>
          <w:kern w:val="0"/>
          <w:sz w:val="32"/>
          <w:szCs w:val="32"/>
          <w:lang w:val="en-US" w:eastAsia="zh-CN"/>
        </w:rPr>
        <w:t>30</w:t>
      </w:r>
      <w:bookmarkStart w:id="0" w:name="_GoBack"/>
      <w:bookmarkEnd w:id="0"/>
      <w:r>
        <w:rPr>
          <w:rFonts w:hint="eastAsia" w:ascii="仿宋_GB2312" w:hAnsi="宋体" w:eastAsia="仿宋_GB2312" w:cs="宋体"/>
          <w:color w:val="000000"/>
          <w:kern w:val="0"/>
          <w:sz w:val="32"/>
          <w:szCs w:val="32"/>
        </w:rPr>
        <w:t>日</w:t>
      </w:r>
    </w:p>
    <w:sectPr>
      <w:headerReference r:id="rId6" w:type="first"/>
      <w:footerReference r:id="rId9" w:type="first"/>
      <w:headerReference r:id="rId4" w:type="default"/>
      <w:footerReference r:id="rId7" w:type="default"/>
      <w:headerReference r:id="rId5" w:type="even"/>
      <w:footerReference r:id="rId8" w:type="even"/>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00002FF" w:usb1="4000ACFF" w:usb2="00000001" w:usb3="00000000" w:csb0="2000019F" w:csb1="00000000"/>
  </w:font>
  <w:font w:name="Cambria">
    <w:panose1 w:val="02040503050406030204"/>
    <w:charset w:val="00"/>
    <w:family w:val="auto"/>
    <w:pitch w:val="default"/>
    <w:sig w:usb0="E00002FF" w:usb1="400004FF" w:usb2="00000000" w:usb3="00000000" w:csb0="2000019F" w:csb1="00000000"/>
  </w:font>
  <w:font w:name="仿宋_GB2312">
    <w:altName w:val="仿宋"/>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splitPgBreakAndParaMark/>
    <w:doNotExpandShiftReturn/>
    <w:adjustLineHeightInTable/>
    <w:useFELayout/>
    <w:doNotUseIndentAsNumberingTabStop/>
    <w:useNormalStyleForList/>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
  <w:rsids>
    <w:rsidRoot w:val="005868AD"/>
    <w:rsid w:val="000061A6"/>
    <w:rsid w:val="00064A6A"/>
    <w:rsid w:val="00087622"/>
    <w:rsid w:val="0009131E"/>
    <w:rsid w:val="00094A79"/>
    <w:rsid w:val="00095FC5"/>
    <w:rsid w:val="000D0587"/>
    <w:rsid w:val="000D2805"/>
    <w:rsid w:val="00117C48"/>
    <w:rsid w:val="001456D6"/>
    <w:rsid w:val="0015571A"/>
    <w:rsid w:val="00157080"/>
    <w:rsid w:val="0017089A"/>
    <w:rsid w:val="001A661F"/>
    <w:rsid w:val="001B1A12"/>
    <w:rsid w:val="00285F85"/>
    <w:rsid w:val="002C7CFA"/>
    <w:rsid w:val="00304ADD"/>
    <w:rsid w:val="00304E7D"/>
    <w:rsid w:val="0035478D"/>
    <w:rsid w:val="00355F44"/>
    <w:rsid w:val="0038101E"/>
    <w:rsid w:val="003E47F0"/>
    <w:rsid w:val="003F4B6B"/>
    <w:rsid w:val="00407022"/>
    <w:rsid w:val="00423757"/>
    <w:rsid w:val="00425C3D"/>
    <w:rsid w:val="0043336F"/>
    <w:rsid w:val="004417F1"/>
    <w:rsid w:val="00481334"/>
    <w:rsid w:val="00484B30"/>
    <w:rsid w:val="00485176"/>
    <w:rsid w:val="004A3E3B"/>
    <w:rsid w:val="004C23EE"/>
    <w:rsid w:val="004D4E2E"/>
    <w:rsid w:val="004E39B9"/>
    <w:rsid w:val="005525FE"/>
    <w:rsid w:val="00556831"/>
    <w:rsid w:val="00565F77"/>
    <w:rsid w:val="005868AD"/>
    <w:rsid w:val="005F13FE"/>
    <w:rsid w:val="006029D6"/>
    <w:rsid w:val="006275F6"/>
    <w:rsid w:val="00650BEC"/>
    <w:rsid w:val="006C54DA"/>
    <w:rsid w:val="007255FF"/>
    <w:rsid w:val="007974B2"/>
    <w:rsid w:val="007F6FCD"/>
    <w:rsid w:val="008376FD"/>
    <w:rsid w:val="00847F3F"/>
    <w:rsid w:val="00867001"/>
    <w:rsid w:val="008E0799"/>
    <w:rsid w:val="00941B67"/>
    <w:rsid w:val="00953DA5"/>
    <w:rsid w:val="00957FF7"/>
    <w:rsid w:val="0096708A"/>
    <w:rsid w:val="009D6B56"/>
    <w:rsid w:val="009F1B53"/>
    <w:rsid w:val="009F56A9"/>
    <w:rsid w:val="00A20803"/>
    <w:rsid w:val="00A36372"/>
    <w:rsid w:val="00A63C3C"/>
    <w:rsid w:val="00A838F6"/>
    <w:rsid w:val="00AC2093"/>
    <w:rsid w:val="00AF2605"/>
    <w:rsid w:val="00B03FAD"/>
    <w:rsid w:val="00B603D6"/>
    <w:rsid w:val="00B761EA"/>
    <w:rsid w:val="00BC7EC3"/>
    <w:rsid w:val="00C25F89"/>
    <w:rsid w:val="00C4696E"/>
    <w:rsid w:val="00C95F56"/>
    <w:rsid w:val="00CD0E1D"/>
    <w:rsid w:val="00D764D1"/>
    <w:rsid w:val="00DD04A7"/>
    <w:rsid w:val="00DD738A"/>
    <w:rsid w:val="00DE15FD"/>
    <w:rsid w:val="00E040BA"/>
    <w:rsid w:val="00E30D00"/>
    <w:rsid w:val="00E95C97"/>
    <w:rsid w:val="00EA2ADD"/>
    <w:rsid w:val="00EF0DA6"/>
    <w:rsid w:val="00F331E7"/>
    <w:rsid w:val="00F76AE2"/>
    <w:rsid w:val="00FC4ACA"/>
    <w:rsid w:val="00FE44B1"/>
    <w:rsid w:val="1B864092"/>
    <w:rsid w:val="625D1D43"/>
  </w:rsids>
  <w:doNotAutoCompressPictures/>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Calibri"/>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nhideWhenUsed="0" w:uiPriority="99" w:semiHidden="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name="header"/>
    <w:lsdException w:qFormat="1"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link w:val="8"/>
    <w:qFormat/>
    <w:locked/>
    <w:uiPriority w:val="99"/>
    <w:pPr>
      <w:widowControl/>
      <w:spacing w:before="100" w:beforeAutospacing="1" w:after="100" w:afterAutospacing="1"/>
      <w:jc w:val="left"/>
      <w:outlineLvl w:val="1"/>
    </w:pPr>
    <w:rPr>
      <w:rFonts w:ascii="宋体" w:hAnsi="宋体" w:cs="宋体"/>
      <w:b/>
      <w:bCs/>
      <w:kern w:val="0"/>
      <w:sz w:val="36"/>
      <w:szCs w:val="36"/>
    </w:rPr>
  </w:style>
  <w:style w:type="character" w:default="1" w:styleId="6">
    <w:name w:val="Default Paragraph Font"/>
    <w:semiHidden/>
    <w:qFormat/>
    <w:uiPriority w:val="99"/>
  </w:style>
  <w:style w:type="table" w:default="1" w:styleId="7">
    <w:name w:val="Normal Table"/>
    <w:unhideWhenUsed/>
    <w:qFormat/>
    <w:uiPriority w:val="99"/>
    <w:tblPr>
      <w:tblStyle w:val="7"/>
      <w:tblLayout w:type="fixed"/>
      <w:tblCellMar>
        <w:top w:w="0" w:type="dxa"/>
        <w:left w:w="108" w:type="dxa"/>
        <w:bottom w:w="0" w:type="dxa"/>
        <w:right w:w="108" w:type="dxa"/>
      </w:tblCellMar>
    </w:tblPr>
    <w:tcPr>
      <w:textDirection w:val="lrTb"/>
    </w:tcPr>
  </w:style>
  <w:style w:type="paragraph" w:styleId="3">
    <w:name w:val="footer"/>
    <w:basedOn w:val="1"/>
    <w:link w:val="10"/>
    <w:semiHidden/>
    <w:qFormat/>
    <w:uiPriority w:val="99"/>
    <w:pPr>
      <w:tabs>
        <w:tab w:val="center" w:pos="4153"/>
        <w:tab w:val="right" w:pos="8306"/>
      </w:tabs>
      <w:snapToGrid w:val="0"/>
      <w:jc w:val="left"/>
    </w:pPr>
    <w:rPr>
      <w:rFonts w:ascii="Calibri" w:hAnsi="Calibri"/>
      <w:sz w:val="18"/>
      <w:szCs w:val="18"/>
    </w:rPr>
  </w:style>
  <w:style w:type="paragraph" w:styleId="4">
    <w:name w:val="header"/>
    <w:basedOn w:val="1"/>
    <w:link w:val="9"/>
    <w:semiHidden/>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5">
    <w:name w:val="Normal (Web)"/>
    <w:basedOn w:val="1"/>
    <w:semiHidden/>
    <w:qFormat/>
    <w:uiPriority w:val="99"/>
    <w:pPr>
      <w:widowControl/>
      <w:spacing w:before="100" w:beforeAutospacing="1" w:after="100" w:afterAutospacing="1"/>
      <w:jc w:val="left"/>
    </w:pPr>
    <w:rPr>
      <w:rFonts w:ascii="宋体" w:hAnsi="宋体" w:cs="宋体"/>
      <w:kern w:val="0"/>
      <w:sz w:val="24"/>
    </w:rPr>
  </w:style>
  <w:style w:type="character" w:customStyle="1" w:styleId="8">
    <w:name w:val="Heading 2 Char"/>
    <w:basedOn w:val="6"/>
    <w:link w:val="2"/>
    <w:semiHidden/>
    <w:qFormat/>
    <w:locked/>
    <w:uiPriority w:val="99"/>
    <w:rPr>
      <w:rFonts w:ascii="Cambria" w:hAnsi="Cambria" w:eastAsia="宋体" w:cs="Times New Roman"/>
      <w:b/>
      <w:bCs/>
      <w:sz w:val="32"/>
      <w:szCs w:val="32"/>
    </w:rPr>
  </w:style>
  <w:style w:type="character" w:customStyle="1" w:styleId="9">
    <w:name w:val="Header Char"/>
    <w:basedOn w:val="6"/>
    <w:link w:val="4"/>
    <w:semiHidden/>
    <w:qFormat/>
    <w:locked/>
    <w:uiPriority w:val="99"/>
    <w:rPr>
      <w:rFonts w:cs="Times New Roman"/>
      <w:sz w:val="18"/>
      <w:szCs w:val="18"/>
    </w:rPr>
  </w:style>
  <w:style w:type="character" w:customStyle="1" w:styleId="10">
    <w:name w:val="Footer Char"/>
    <w:basedOn w:val="6"/>
    <w:link w:val="3"/>
    <w:semiHidden/>
    <w:qFormat/>
    <w:locked/>
    <w:uiPriority w:val="99"/>
    <w:rPr>
      <w:rFonts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settings" Target="settings.xml"/><Relationship Id="rId2" Type="http://schemas.openxmlformats.org/officeDocument/2006/relationships/styles" Target="styles.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Company>Micorsoft</Company>
  <Pages>2</Pages>
  <Words>106</Words>
  <Characters>607</Characters>
  <Lines>0</Lines>
  <Paragraphs>0</Paragraphs>
  <ScaleCrop>false</ScaleCrop>
  <LinksUpToDate>false</LinksUpToDate>
  <CharactersWithSpaces>0</CharactersWithSpaces>
  <Application>WPS Office 专业版_9.1.0.4895_{F1E327BC-269C-435d-A152-05C5408002CA}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2016-08-18T05:07:00Z</dcterms:created>
  <dc:creator>user</dc:creator>
  <cp:lastModifiedBy>cy</cp:lastModifiedBy>
  <cp:lastPrinted>2016-09-26T08:16:00Z</cp:lastPrinted>
  <dcterms:modified xsi:type="dcterms:W3CDTF">2017-08-30T08:35:54Z</dcterms:modified>
  <dc:title>延长至黄龙、宁陕至石泉高速公路PPP项目社会</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2052-9.1.0.4895</vt:lpwstr>
  </property>
</Properties>
</file>