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right="23"/>
        <w:jc w:val="both"/>
        <w:outlineLvl w:val="1"/>
        <w:rPr>
          <w:rFonts w:hAnsi="仿宋_GB2312"/>
          <w:b/>
          <w:bCs/>
          <w:color w:val="auto"/>
          <w:sz w:val="32"/>
          <w:szCs w:val="32"/>
        </w:rPr>
      </w:pPr>
      <w:r>
        <w:rPr>
          <w:rFonts w:hint="eastAsia" w:hAnsi="仿宋_GB2312"/>
          <w:b/>
          <w:bCs/>
          <w:color w:val="auto"/>
          <w:sz w:val="32"/>
          <w:szCs w:val="32"/>
        </w:rPr>
        <w:t>附件二</w:t>
      </w:r>
    </w:p>
    <w:p>
      <w:pPr>
        <w:pStyle w:val="4"/>
        <w:spacing w:line="360" w:lineRule="auto"/>
        <w:ind w:right="20" w:firstLine="600" w:firstLineChars="200"/>
        <w:jc w:val="both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高速公路各路段管理单位突发事件报送情况（</w:t>
      </w:r>
      <w:r>
        <w:rPr>
          <w:rFonts w:ascii="方正小标宋简体" w:hAnsi="宋体" w:eastAsia="方正小标宋简体" w:cs="宋体"/>
          <w:color w:val="auto"/>
        </w:rPr>
        <w:t>2018</w:t>
      </w:r>
      <w:r>
        <w:rPr>
          <w:rFonts w:hint="eastAsia" w:ascii="方正小标宋简体" w:hAnsi="宋体" w:eastAsia="方正小标宋简体" w:cs="宋体"/>
          <w:color w:val="auto"/>
        </w:rPr>
        <w:t>年第</w:t>
      </w:r>
      <w:r>
        <w:rPr>
          <w:rFonts w:ascii="方正小标宋简体" w:hAnsi="宋体" w:eastAsia="方正小标宋简体" w:cs="宋体"/>
          <w:color w:val="auto"/>
        </w:rPr>
        <w:t>3</w:t>
      </w:r>
      <w:r>
        <w:rPr>
          <w:rFonts w:hint="eastAsia" w:ascii="方正小标宋简体" w:hAnsi="宋体" w:eastAsia="方正小标宋简体" w:cs="宋体"/>
          <w:color w:val="auto"/>
        </w:rPr>
        <w:t>季度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）</w:t>
      </w: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806"/>
        <w:gridCol w:w="390"/>
        <w:gridCol w:w="575"/>
        <w:gridCol w:w="965"/>
        <w:gridCol w:w="965"/>
        <w:gridCol w:w="965"/>
        <w:gridCol w:w="965"/>
        <w:gridCol w:w="1000"/>
        <w:gridCol w:w="96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分公司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事件数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报送及时率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监控系统使用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分钟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以内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分钟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以内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突发事件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网报率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人工采集任务完成情况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0"/>
                <w:szCs w:val="20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日均采集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次数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任务完成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有效率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集团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西延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75%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17.05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89.73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西渭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33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93.94%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93.94%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18.99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99.92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西宝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67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83.58%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91.04%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98.51%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18.56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97.70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西禹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82%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91%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99%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18.08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95.10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84.88%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95.35%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96.51%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11.00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57.94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汉宁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50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86%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94%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98%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12.91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67.67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白泉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84.62%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17.80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93.71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23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86.96%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91.3%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12.51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65.82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西耀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84.09%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95.45%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18.96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99.87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9.39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49.44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汉川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16.61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渭玉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18.93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99.67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铜旬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19.00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汉坪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19.00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高速集团合计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441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85.49%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93.65%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98.64%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16.34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86.12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交通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集团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绕城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160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95%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99.38%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99.38%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18.67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98.34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机场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99.66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西镇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86.36%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93.18%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77.27%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16.62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88.41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西长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78.72%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97.87%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95.74%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16.92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99.37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蓝商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25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88%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96%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88%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17.43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91.74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商界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30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93.33%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16.03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79.87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商漫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24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95.83%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95.83%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17.71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91.22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安川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51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90.2%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98.04%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98.92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延靖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90.12%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96.3%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17.91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94.48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榆靖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84.44%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95.56%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93.33%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4.84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25.55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吴靖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62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87.1%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91.94%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14.31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50.41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靖王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24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79.17%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87.5%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91.67%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8.69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43.52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宜富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77.78%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88.89%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19.27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98.01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神府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135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98.52%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9.16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48.16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97.5%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97.5%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18.91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96.98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榆绥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18.89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99.40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延志吴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83.33%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18.41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97.88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咸旬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15.21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延延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87.5%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87.5%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17.90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95.77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黄延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91.67%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15.65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90.53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安平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18.51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97.42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北环线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39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87.18%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94.87%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9.44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49.76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交通集团合计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896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91.18%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97.32%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96.99%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15.81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82.68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西铜公司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81.25%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87.5%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18.96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99.77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华通公司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18.62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98.08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榆神公司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98.92%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98.92%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94.62%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16.21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85.13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榆佳公司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55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16.10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神佳米公司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18.02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94.88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1,508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90.25%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96.35%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97.48%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16.08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84.40</w:t>
            </w:r>
          </w:p>
        </w:tc>
      </w:tr>
    </w:tbl>
    <w:p>
      <w:pPr>
        <w:pStyle w:val="4"/>
        <w:spacing w:line="360" w:lineRule="auto"/>
        <w:ind w:right="20" w:firstLine="1038" w:firstLineChars="346"/>
        <w:jc w:val="both"/>
        <w:rPr>
          <w:rFonts w:ascii="宋体" w:hAnsi="宋体" w:eastAsia="宋体" w:cs="宋体"/>
          <w:color w:val="auto"/>
          <w:sz w:val="30"/>
          <w:szCs w:val="30"/>
        </w:rPr>
      </w:pPr>
    </w:p>
    <w:p>
      <w:pPr>
        <w:pStyle w:val="4"/>
        <w:spacing w:line="360" w:lineRule="auto"/>
        <w:ind w:right="20" w:firstLine="1038" w:firstLineChars="346"/>
        <w:jc w:val="both"/>
        <w:rPr>
          <w:rFonts w:ascii="宋体" w:hAnsi="宋体" w:eastAsia="宋体" w:cs="宋体"/>
          <w:color w:val="auto"/>
          <w:sz w:val="30"/>
          <w:szCs w:val="30"/>
        </w:rPr>
      </w:pPr>
    </w:p>
    <w:p>
      <w:pPr>
        <w:pStyle w:val="4"/>
        <w:spacing w:line="360" w:lineRule="auto"/>
        <w:ind w:right="20" w:firstLine="1038" w:firstLineChars="346"/>
        <w:jc w:val="both"/>
        <w:rPr>
          <w:rFonts w:ascii="宋体" w:hAnsi="宋体" w:eastAsia="宋体" w:cs="宋体"/>
          <w:color w:val="auto"/>
          <w:sz w:val="30"/>
          <w:szCs w:val="30"/>
        </w:rPr>
      </w:pPr>
    </w:p>
    <w:p>
      <w:pPr>
        <w:pStyle w:val="4"/>
        <w:spacing w:line="360" w:lineRule="auto"/>
        <w:ind w:right="20" w:firstLine="1038" w:firstLineChars="346"/>
        <w:jc w:val="both"/>
        <w:rPr>
          <w:rFonts w:ascii="宋体" w:hAnsi="宋体" w:eastAsia="宋体" w:cs="宋体"/>
          <w:color w:val="auto"/>
          <w:sz w:val="30"/>
          <w:szCs w:val="30"/>
        </w:rPr>
      </w:pPr>
    </w:p>
    <w:p>
      <w:pPr>
        <w:pStyle w:val="4"/>
        <w:spacing w:line="360" w:lineRule="auto"/>
        <w:ind w:right="20" w:firstLine="1038" w:firstLineChars="346"/>
        <w:jc w:val="both"/>
        <w:rPr>
          <w:rFonts w:ascii="宋体" w:hAnsi="宋体" w:eastAsia="宋体" w:cs="宋体"/>
          <w:color w:val="auto"/>
          <w:sz w:val="30"/>
          <w:szCs w:val="30"/>
        </w:rPr>
      </w:pPr>
    </w:p>
    <w:p>
      <w:pPr>
        <w:pStyle w:val="4"/>
        <w:spacing w:line="360" w:lineRule="auto"/>
        <w:ind w:right="20" w:firstLine="1038" w:firstLineChars="346"/>
        <w:jc w:val="both"/>
        <w:rPr>
          <w:rFonts w:ascii="宋体" w:hAnsi="宋体" w:eastAsia="宋体" w:cs="宋体"/>
          <w:color w:val="auto"/>
          <w:sz w:val="30"/>
          <w:szCs w:val="30"/>
        </w:rPr>
      </w:pPr>
    </w:p>
    <w:p>
      <w:pPr>
        <w:pStyle w:val="4"/>
        <w:spacing w:line="360" w:lineRule="auto"/>
        <w:ind w:right="20" w:firstLine="1038" w:firstLineChars="346"/>
        <w:jc w:val="both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高速公路各路段公司监控设备正常运转率排名表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417"/>
        <w:gridCol w:w="39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333333" w:sz="4" w:space="0"/>
              <w:left w:val="single" w:color="auto" w:sz="4" w:space="0"/>
              <w:bottom w:val="nil"/>
              <w:right w:val="single" w:color="333333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0"/>
              </w:rPr>
              <w:t>路段名称</w:t>
            </w:r>
          </w:p>
        </w:tc>
        <w:tc>
          <w:tcPr>
            <w:tcW w:w="3997" w:type="dxa"/>
            <w:tcBorders>
              <w:top w:val="single" w:color="333333" w:sz="4" w:space="0"/>
              <w:left w:val="nil"/>
              <w:bottom w:val="nil"/>
              <w:right w:val="single" w:color="333333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0"/>
              </w:rPr>
              <w:t>统计结果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0"/>
              </w:rPr>
              <w:t>1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西咸北环线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99.93%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铜旬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99.85%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西蓝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99.75%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延延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99.67%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5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安川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98.61%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6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宜富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98.49%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7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靖王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98.11%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8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西耀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97.79%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9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机场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97.44%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10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蓝商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97.30%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11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延靖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96.48%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12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榆绥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95.91%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13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黄延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94.67%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14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榆佳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94.54%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15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西商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94.45%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16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西禹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94.43%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17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神府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93.87%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18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安平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19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商界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93.27%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20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商漫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92.75%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21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西铜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92.63%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22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吴靖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92.18%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23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渭玉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91.92%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24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绕城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91.72%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25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西延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91.14%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26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西略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90.98%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27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汉宁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90.13%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28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西汉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89.94%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29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汉坪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89.90%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30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西渭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89.77%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31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榆神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89.58%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32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宝鸡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88.71%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33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白泉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88.48%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34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西宝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87.38%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35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神佳米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86.93%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36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西镇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83.50%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37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西长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83.48%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38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咸旬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79.48%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39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延志吴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78.17%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40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榆靖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78.04%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41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汉川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77.70%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  <w:szCs w:val="20"/>
              </w:rPr>
            </w:pPr>
            <w:r>
              <w:rPr>
                <w:rFonts w:ascii="仿宋" w:hAnsi="仿宋" w:eastAsia="仿宋" w:cs="Arial"/>
                <w:sz w:val="24"/>
                <w:szCs w:val="20"/>
              </w:rPr>
              <w:t>42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吴定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40.12%</w:t>
            </w:r>
          </w:p>
        </w:tc>
      </w:tr>
    </w:tbl>
    <w:p>
      <w:pPr>
        <w:pStyle w:val="4"/>
        <w:spacing w:line="360" w:lineRule="auto"/>
        <w:ind w:right="20"/>
        <w:jc w:val="both"/>
        <w:rPr>
          <w:rFonts w:hAnsi="仿宋_GB2312"/>
          <w:b/>
          <w:bCs/>
          <w:color w:val="auto"/>
          <w:sz w:val="32"/>
          <w:szCs w:val="32"/>
        </w:rPr>
      </w:pPr>
    </w:p>
    <w:p>
      <w:pPr>
        <w:pStyle w:val="4"/>
        <w:spacing w:line="360" w:lineRule="auto"/>
        <w:ind w:right="20"/>
        <w:jc w:val="both"/>
        <w:rPr>
          <w:rFonts w:hAnsi="仿宋_GB2312"/>
          <w:b/>
          <w:bCs/>
          <w:color w:val="auto"/>
          <w:sz w:val="32"/>
          <w:szCs w:val="32"/>
        </w:rPr>
      </w:pPr>
    </w:p>
    <w:p>
      <w:pPr>
        <w:pStyle w:val="4"/>
        <w:spacing w:line="360" w:lineRule="auto"/>
        <w:ind w:right="20"/>
        <w:jc w:val="both"/>
        <w:rPr>
          <w:rFonts w:hAnsi="仿宋_GB2312"/>
          <w:b/>
          <w:bCs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90C47"/>
    <w:rsid w:val="6D535020"/>
    <w:rsid w:val="778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2018-10-25T08:18:00Z</dcterms:created>
  <dc:creator>wang</dc:creator>
  <cp:lastModifiedBy>wang</cp:lastModifiedBy>
  <dcterms:modified xsi:type="dcterms:W3CDTF">2018-10-25T08:18:53Z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