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3997" w:h="471" w:hRule="exact" w:vSpace="181" w:wrap="around" w:vAnchor="page" w:hAnchor="page" w:x="1796" w:y="13714" w:anchorLock="1"/>
        <w:widowControl/>
        <w:ind w:right="140" w:firstLine="0" w:firstLineChars="0"/>
        <w:jc w:val="left"/>
        <w:rPr>
          <w:rFonts w:ascii="黑体" w:eastAsia="黑体"/>
          <w:kern w:val="0"/>
          <w:sz w:val="28"/>
          <w:szCs w:val="28"/>
        </w:rPr>
      </w:pPr>
      <w:bookmarkStart w:id="0" w:name="_Toc20025"/>
      <w:bookmarkStart w:id="1" w:name="_Toc8375"/>
      <w:r>
        <w:rPr>
          <w:rFonts w:hint="eastAsia" w:ascii="黑体" w:eastAsia="黑体" w:cs="黑体"/>
          <w:kern w:val="0"/>
          <w:sz w:val="28"/>
          <w:szCs w:val="28"/>
        </w:rPr>
        <w:t>2018年</w:t>
      </w:r>
      <w:r>
        <w:rPr>
          <w:rFonts w:hint="eastAsia" w:ascii="黑体" w:eastAsia="黑体" w:cs="黑体"/>
          <w:kern w:val="0"/>
          <w:sz w:val="28"/>
          <w:szCs w:val="28"/>
          <w:lang w:val="en-US" w:eastAsia="zh-CN"/>
        </w:rPr>
        <w:t>8</w:t>
      </w:r>
      <w:r>
        <w:rPr>
          <w:rFonts w:hint="eastAsia" w:ascii="黑体" w:eastAsia="黑体" w:cs="黑体"/>
          <w:kern w:val="0"/>
          <w:sz w:val="28"/>
          <w:szCs w:val="28"/>
        </w:rPr>
        <w:t>月</w:t>
      </w:r>
      <w:r>
        <w:rPr>
          <w:rFonts w:hint="eastAsia" w:ascii="黑体" w:eastAsia="黑体" w:cs="黑体"/>
          <w:kern w:val="0"/>
          <w:sz w:val="28"/>
          <w:szCs w:val="28"/>
          <w:lang w:val="en-US" w:eastAsia="zh-CN"/>
        </w:rPr>
        <w:t>27</w:t>
      </w:r>
      <w:r>
        <w:rPr>
          <w:rFonts w:hint="eastAsia" w:ascii="黑体" w:eastAsia="黑体" w:cs="黑体"/>
          <w:kern w:val="0"/>
          <w:sz w:val="28"/>
          <w:szCs w:val="28"/>
        </w:rPr>
        <w:t>日发布</w:t>
      </w:r>
    </w:p>
    <w:p>
      <w:pPr>
        <w:framePr w:w="3572" w:h="471" w:hRule="exact" w:vSpace="181" w:wrap="around" w:vAnchor="page" w:hAnchor="page" w:x="6772" w:y="13745" w:anchorLock="1"/>
        <w:widowControl/>
        <w:ind w:right="280" w:firstLine="560"/>
        <w:jc w:val="right"/>
        <w:rPr>
          <w:rFonts w:eastAsia="黑体" w:cs="黑体"/>
          <w:kern w:val="0"/>
          <w:sz w:val="28"/>
          <w:szCs w:val="28"/>
        </w:rPr>
      </w:pPr>
      <w:r>
        <w:rPr>
          <w:rFonts w:ascii="黑体" w:eastAsia="黑体" w:cs="黑体"/>
          <w:kern w:val="0"/>
          <w:sz w:val="28"/>
          <w:szCs w:val="28"/>
        </w:rPr>
        <w:t>2018</w:t>
      </w:r>
      <w:r>
        <w:rPr>
          <w:rFonts w:hint="eastAsia" w:ascii="黑体" w:eastAsia="黑体" w:cs="黑体"/>
          <w:kern w:val="0"/>
          <w:sz w:val="28"/>
          <w:szCs w:val="28"/>
        </w:rPr>
        <w:t>年</w:t>
      </w:r>
      <w:r>
        <w:rPr>
          <w:rFonts w:hint="eastAsia" w:ascii="黑体" w:eastAsia="黑体" w:cs="黑体"/>
          <w:kern w:val="0"/>
          <w:sz w:val="28"/>
          <w:szCs w:val="28"/>
          <w:lang w:val="en-US" w:eastAsia="zh-CN"/>
        </w:rPr>
        <w:t>9</w:t>
      </w:r>
      <w:r>
        <w:rPr>
          <w:rFonts w:hint="eastAsia" w:ascii="黑体" w:eastAsia="黑体" w:cs="黑体"/>
          <w:kern w:val="0"/>
          <w:sz w:val="28"/>
          <w:szCs w:val="28"/>
        </w:rPr>
        <w:t>月</w:t>
      </w:r>
      <w:r>
        <w:rPr>
          <w:rFonts w:hint="eastAsia" w:ascii="黑体" w:eastAsia="黑体" w:cs="黑体"/>
          <w:kern w:val="0"/>
          <w:sz w:val="28"/>
          <w:szCs w:val="28"/>
          <w:lang w:val="en-US" w:eastAsia="zh-CN"/>
        </w:rPr>
        <w:t>1</w:t>
      </w:r>
      <w:r>
        <w:rPr>
          <w:rFonts w:hint="eastAsia" w:ascii="黑体" w:eastAsia="黑体" w:cs="黑体"/>
          <w:kern w:val="0"/>
          <w:sz w:val="28"/>
          <w:szCs w:val="28"/>
        </w:rPr>
        <w:t>日</w:t>
      </w:r>
      <w:r>
        <w:rPr>
          <w:rFonts w:hint="eastAsia" w:eastAsia="黑体" w:cs="黑体"/>
          <w:kern w:val="0"/>
          <w:sz w:val="28"/>
          <w:szCs w:val="28"/>
        </w:rPr>
        <w:t>实施</w:t>
      </w:r>
    </w:p>
    <w:p>
      <w:pPr>
        <w:framePr w:w="7422" w:h="1140" w:hRule="exact" w:hSpace="125" w:vSpace="181" w:wrap="around" w:vAnchor="page" w:hAnchor="page" w:x="2338" w:y="14132" w:anchorLock="1"/>
        <w:ind w:firstLine="0" w:firstLineChars="0"/>
        <w:jc w:val="left"/>
        <w:rPr>
          <w:rFonts w:ascii="黑体" w:eastAsia="黑体"/>
          <w:snapToGrid w:val="0"/>
          <w:spacing w:val="180"/>
          <w:kern w:val="0"/>
          <w:position w:val="3"/>
          <w:sz w:val="28"/>
          <w:szCs w:val="28"/>
        </w:rPr>
      </w:pPr>
    </w:p>
    <w:p>
      <w:pPr>
        <w:framePr w:w="7422" w:h="1140" w:hRule="exact" w:hSpace="125" w:vSpace="181" w:wrap="around" w:vAnchor="page" w:hAnchor="page" w:x="2338" w:y="14132" w:anchorLock="1"/>
        <w:widowControl/>
        <w:spacing w:line="240" w:lineRule="atLeast"/>
        <w:ind w:firstLine="0" w:firstLineChars="0"/>
        <w:jc w:val="left"/>
        <w:rPr>
          <w:rFonts w:ascii="黑体" w:eastAsia="黑体"/>
          <w:spacing w:val="85"/>
          <w:w w:val="90"/>
          <w:kern w:val="0"/>
          <w:position w:val="3"/>
          <w:sz w:val="28"/>
          <w:szCs w:val="28"/>
        </w:rPr>
      </w:pPr>
      <w:bookmarkStart w:id="2" w:name="OLE_LINK5"/>
      <w:bookmarkStart w:id="3" w:name="OLE_LINK6"/>
      <w:r>
        <w:rPr>
          <w:rFonts w:hint="eastAsia" w:ascii="黑体" w:eastAsia="黑体"/>
          <w:spacing w:val="85"/>
          <w:w w:val="90"/>
          <w:kern w:val="0"/>
          <w:position w:val="3"/>
          <w:sz w:val="28"/>
          <w:szCs w:val="28"/>
        </w:rPr>
        <w:t>陕西省道路运输管理局</w:t>
      </w:r>
    </w:p>
    <w:bookmarkEnd w:id="2"/>
    <w:bookmarkEnd w:id="3"/>
    <w:p>
      <w:pPr>
        <w:pStyle w:val="48"/>
        <w:framePr w:w="0" w:hRule="auto" w:hSpace="0" w:wrap="auto" w:vAnchor="margin" w:hAnchor="text" w:xAlign="left" w:yAlign="inline"/>
        <w:spacing w:before="312" w:after="312"/>
        <w:ind w:right="640"/>
        <w:jc w:val="both"/>
        <w:rPr>
          <w:spacing w:val="20"/>
          <w:lang w:val="de-DE"/>
        </w:rPr>
      </w:pPr>
    </w:p>
    <w:p>
      <w:pPr>
        <w:pStyle w:val="48"/>
        <w:framePr w:w="0" w:hRule="auto" w:hSpace="0" w:wrap="auto" w:vAnchor="margin" w:hAnchor="text" w:xAlign="left" w:yAlign="inline"/>
        <w:spacing w:before="312" w:after="312"/>
        <w:ind w:right="640"/>
        <w:jc w:val="both"/>
        <w:rPr>
          <w:spacing w:val="20"/>
          <w:lang w:val="de-DE"/>
        </w:rPr>
      </w:pPr>
    </w:p>
    <w:p>
      <w:pPr>
        <w:pStyle w:val="48"/>
        <w:framePr w:w="0" w:hRule="auto" w:hSpace="0" w:wrap="auto" w:vAnchor="margin" w:hAnchor="text" w:xAlign="left" w:yAlign="inline"/>
        <w:spacing w:before="312" w:after="312"/>
        <w:ind w:right="640"/>
        <w:jc w:val="both"/>
        <w:rPr>
          <w:spacing w:val="20"/>
          <w:lang w:val="de-DE"/>
        </w:rPr>
      </w:pPr>
    </w:p>
    <w:p>
      <w:pPr>
        <w:ind w:firstLine="0" w:firstLineChars="0"/>
        <w:rPr>
          <w:rFonts w:ascii="黑体" w:hAnsi="黑体" w:eastAsia="黑体" w:cs="黑体"/>
          <w:spacing w:val="20"/>
          <w:kern w:val="0"/>
          <w:sz w:val="28"/>
          <w:szCs w:val="28"/>
          <w:lang w:val="de-DE"/>
        </w:rPr>
      </w:pPr>
      <w:r>
        <w:rPr>
          <w:sz w:val="28"/>
        </w:rPr>
        <w:pict>
          <v:line id="直接连接符 8" o:spid="_x0000_s1026" o:spt="20" style="position:absolute;left:0pt;margin-top:10.6pt;height:0pt;width:449.15pt;mso-position-horizontal:right;mso-position-horizontal-relative:margin;z-index:251657216;mso-width-relative:page;mso-height-relative:page;" coordsize="21600,21600" o:gfxdata="UEsDBAoAAAAAAIdO4kAAAAAAAAAAAAAAAAAEAAAAZHJzL1BLAwQUAAAACACHTuJAKVR86NMAAAAG&#10;AQAADwAAAGRycy9kb3ducmV2LnhtbE2PsU7EMAyGdyTeITISG5e2SFwpTW9AYkBCAgoDY67xNYXG&#10;KUmuLW+PEQOM9v/r8+d6t7pRzBji4ElBvslAIHXeDNQreH25uyhBxKTJ6NETKvjCCLvm9KTWlfEL&#10;PePcpl4whGKlFdiUpkrK2Fl0Om78hMTZwQenE4+hlyboheFulEWWXUmnB+ILVk94a7H7aI+OKbT9&#10;PKxjeHt6fLBlu7zj/bxFpc7P8uwGRMI1/ZXhR5/VoWGnvT+SiWJUwI8kBUVegOC0vC4vQex/F7Kp&#10;5X/95htQSwMEFAAAAAgAh07iQHBahLzIAQAAZAMAAA4AAABkcnMvZTJvRG9jLnhtbK1TzW4TMRC+&#10;I/EOlu9kt6Ep0SqbHhqVC4JIwANMvPauJf/JY7LJS/ACSNzgxJE7b0P7GIydNC30VpHDxJ6fb/x9&#10;M7u43FnDtjKi9q7lZ5OaM+mE77TrW/7xw/WLOWeYwHVgvJMt30vkl8vnzxZjaOTUD950MjICcdiM&#10;oeVDSqGpKhSDtIATH6SjoPLRQqJr7Ksuwkjo1lTTur6oRh+7EL2QiORdHYJ8WfCVkiK9UwplYqbl&#10;9LZUbCx2k221XEDTRwiDFsdnwBNeYUE7anqCWkEC9inqR1BWi+jRqzQR3lZeKS1k4UBszup/2Lwf&#10;IMjChcTBcJIJ/x+seLtdR6Y7mt05Zw4szejmy8/fn7/d/vpK9ubHdzbPKo0BG0q+cut4vGFYx0x5&#10;p6LN/0SG7Yqy+5OycpeYIOfsVX0+rWecibtYdV8YIqbX0luWDy032mXS0MD2DSZqRql3Kdnt/LU2&#10;pgzOODa2/OLljEYrgNZHGUh0tIEIoes5A9PTXooUCyJ6o7tcnXEw9psrE9kW8m6UXyZK3f5Ky61X&#10;gMMhr4QOW2N1otU12rZ8/rDaOALJch0EyqeN7/ZFt+KnUZY2x7XLu/LwXqrvP47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ClUfOjTAAAABgEAAA8AAAAAAAAAAQAgAAAAIgAAAGRycy9kb3ducmV2&#10;LnhtbFBLAQIUABQAAAAIAIdO4kBwWoS8yAEAAGQDAAAOAAAAAAAAAAEAIAAAACIBAABkcnMvZTJv&#10;RG9jLnhtbFBLBQYAAAAABgAGAFkBAABcBQAAAAA=&#10;">
            <v:path arrowok="t"/>
            <v:fill focussize="0,0"/>
            <v:stroke weight="0.5pt" joinstyle="miter"/>
            <v:imagedata o:title=""/>
            <o:lock v:ext="edit"/>
          </v:line>
        </w:pict>
      </w:r>
    </w:p>
    <w:p>
      <w:pPr>
        <w:ind w:firstLine="0" w:firstLineChars="0"/>
        <w:jc w:val="center"/>
        <w:rPr>
          <w:rFonts w:ascii="宋体" w:hAnsi="宋体"/>
          <w:b/>
          <w:bCs/>
          <w:sz w:val="44"/>
          <w:szCs w:val="44"/>
        </w:rPr>
      </w:pPr>
    </w:p>
    <w:p>
      <w:pPr>
        <w:ind w:firstLine="0" w:firstLineChars="0"/>
        <w:jc w:val="center"/>
        <w:rPr>
          <w:rFonts w:ascii="黑体" w:hAnsi="黑体" w:eastAsia="黑体"/>
          <w:bCs/>
          <w:sz w:val="48"/>
          <w:szCs w:val="44"/>
        </w:rPr>
      </w:pPr>
      <w:r>
        <w:rPr>
          <w:rFonts w:hint="eastAsia" w:ascii="黑体" w:hAnsi="黑体" w:eastAsia="黑体"/>
          <w:bCs/>
          <w:sz w:val="48"/>
          <w:szCs w:val="44"/>
        </w:rPr>
        <w:t>道路运输车辆主动安全智能防控系统</w:t>
      </w:r>
    </w:p>
    <w:p>
      <w:pPr>
        <w:ind w:firstLine="0" w:firstLineChars="0"/>
        <w:jc w:val="center"/>
        <w:rPr>
          <w:rFonts w:ascii="黑体" w:hAnsi="黑体" w:eastAsia="黑体"/>
          <w:bCs/>
          <w:sz w:val="48"/>
          <w:szCs w:val="44"/>
        </w:rPr>
      </w:pPr>
      <w:r>
        <w:rPr>
          <w:rFonts w:hint="eastAsia" w:ascii="黑体" w:hAnsi="黑体" w:eastAsia="黑体"/>
          <w:bCs/>
          <w:sz w:val="48"/>
          <w:szCs w:val="44"/>
        </w:rPr>
        <w:t>（平台技术要求）</w:t>
      </w:r>
    </w:p>
    <w:p>
      <w:pPr>
        <w:ind w:firstLine="420"/>
      </w:pPr>
    </w:p>
    <w:p>
      <w:pPr>
        <w:ind w:firstLine="0" w:firstLineChars="0"/>
        <w:jc w:val="center"/>
        <w:rPr>
          <w:rFonts w:ascii="黑体" w:hAnsi="黑体" w:eastAsia="黑体"/>
          <w:bCs/>
          <w:sz w:val="28"/>
          <w:szCs w:val="44"/>
        </w:rPr>
      </w:pPr>
      <w:r>
        <w:rPr>
          <w:rFonts w:ascii="黑体" w:hAnsi="黑体" w:eastAsia="黑体"/>
          <w:bCs/>
          <w:sz w:val="28"/>
          <w:szCs w:val="44"/>
        </w:rPr>
        <w:t>Intelligent prevention system for active safety of operating vehicles</w:t>
      </w:r>
    </w:p>
    <w:p>
      <w:pPr>
        <w:widowControl/>
        <w:spacing w:line="240" w:lineRule="auto"/>
        <w:ind w:firstLine="0" w:firstLineChars="0"/>
        <w:jc w:val="center"/>
        <w:rPr>
          <w:rFonts w:ascii="Times New Roman" w:hAnsi="Times New Roman" w:eastAsia="Times New Roman"/>
          <w:kern w:val="0"/>
          <w:sz w:val="24"/>
          <w:szCs w:val="24"/>
        </w:rPr>
      </w:pPr>
      <w:r>
        <w:rPr>
          <w:rFonts w:hint="eastAsia" w:ascii="黑体" w:hAnsi="黑体" w:eastAsia="黑体"/>
          <w:bCs/>
          <w:sz w:val="28"/>
          <w:szCs w:val="44"/>
        </w:rPr>
        <w:t>（</w:t>
      </w:r>
      <w:bookmarkStart w:id="4" w:name="OLE_LINK7"/>
      <w:bookmarkStart w:id="5" w:name="OLE_LINK8"/>
      <w:r>
        <w:rPr>
          <w:rFonts w:hint="eastAsia" w:ascii="黑体" w:hAnsi="黑体" w:eastAsia="黑体"/>
          <w:bCs/>
          <w:sz w:val="28"/>
          <w:szCs w:val="44"/>
        </w:rPr>
        <w:t xml:space="preserve">Requirements </w:t>
      </w:r>
      <w:bookmarkEnd w:id="4"/>
      <w:bookmarkEnd w:id="5"/>
      <w:r>
        <w:rPr>
          <w:rFonts w:ascii="黑体" w:hAnsi="黑体" w:eastAsia="黑体"/>
          <w:bCs/>
          <w:sz w:val="28"/>
          <w:szCs w:val="44"/>
        </w:rPr>
        <w:t>for platform</w:t>
      </w:r>
      <w:r>
        <w:rPr>
          <w:rFonts w:hint="eastAsia" w:ascii="黑体" w:hAnsi="黑体" w:eastAsia="黑体"/>
          <w:bCs/>
          <w:sz w:val="28"/>
          <w:szCs w:val="44"/>
        </w:rPr>
        <w:t>）</w:t>
      </w:r>
    </w:p>
    <w:p>
      <w:pPr>
        <w:ind w:firstLine="560"/>
        <w:jc w:val="left"/>
        <w:rPr>
          <w:rFonts w:ascii="黑体" w:hAnsi="黑体" w:eastAsia="黑体"/>
          <w:bCs/>
          <w:sz w:val="28"/>
          <w:szCs w:val="44"/>
        </w:rPr>
      </w:pPr>
    </w:p>
    <w:p>
      <w:pPr>
        <w:ind w:firstLine="0" w:firstLineChars="0"/>
        <w:jc w:val="left"/>
        <w:rPr>
          <w:rFonts w:ascii="黑体" w:hAnsi="黑体" w:eastAsia="黑体"/>
          <w:bCs/>
          <w:sz w:val="28"/>
          <w:szCs w:val="44"/>
        </w:rPr>
      </w:pPr>
      <w:r>
        <w:rPr>
          <w:sz w:val="28"/>
        </w:rPr>
        <w:pict>
          <v:shape id="文本框 4" o:spid="_x0000_s1029" o:spt="202" type="#_x0000_t202" style="position:absolute;left:0pt;margin-left:305pt;margin-top:299.8pt;height:34.05pt;width:97.5pt;z-index:251656192;mso-width-relative:page;mso-height-relative:page;" stroked="f" coordsize="21600,21600" o:gfxdata="UEsDBAoAAAAAAIdO4kAAAAAAAAAAAAAAAAAEAAAAZHJzL1BLAwQUAAAACACHTuJAwkA0UdgAAAAL&#10;AQAADwAAAGRycy9kb3ducmV2LnhtbE2PwU7DMBBE70j8g7VIXBC1g4jTpHEqgQTi2tIP2CRuEjVe&#10;R7HbtH/PcoLjzoxm35TbqxvFxc5h8GQgWSkQlhrfDtQZOHx/PK9BhIjU4ujJGrjZANvq/q7EovUL&#10;7exlHzvBJRQKNNDHOBVShqa3DsPKT5bYO/rZYeRz7mQ748LlbpQvSmnpcCD+0ONk33vbnPZnZ+D4&#10;tTyl+VJ/xkO2e9VvOGS1vxnz+JCoDYhor/EvDL/4jA4VM9X+TG0QowGdKN4SDaR5rkFwYq1SVmq2&#10;dJaBrEr5f0P1A1BLAwQUAAAACACHTuJAaus20w8CAADxAwAADgAAAGRycy9lMm9Eb2MueG1srVPN&#10;jtMwEL4j8Q6W7zRt2sISNV0tXRUhLT/SwgM4jpNYJB4zdpssD8C+AScu3HmuPgdjp1sK3BA5WJ7M&#10;zDfzfTNeXQ5dy/YKnQaT89lkypkyEkpt6px/eL99csGZ88KUogWjcn6nHL9cP3606m2mUmigLRUy&#10;AjEu623OG+9tliRONqoTbgJWGXJWgJ3wZGKdlCh6Qu/aJJ1OnyY9YGkRpHKO/l6PTr6O+FWlpH9b&#10;VU551uacevPxxHgW4UzWK5HVKGyj5bEN8Q9ddEIbKnqCuhZesB3qv6A6LREcVH4ioUugqrRUkQOx&#10;mU3/YHPbCKsiFxLH2ZNM7v/Byjf7d8h0SbNbcmZERzM6fL0/fPtx+P6FLYI+vXUZhd1aCvTDCxgo&#10;NnJ19gbkR8cMbBphanWFCH2jREn9zUJmcpY64rgAUvSvoaQ6YuchAg0VdkE8koMROs3p7jQbNXgm&#10;Q8l0fpEuySXJt5ini/kylhDZQ7ZF518q6Fi45Bxp9hFd7G+cD92I7CEkFHPQ6nKr2zYaWBebFtle&#10;0J5s43dE/y2sNSHYQEgbEcOfSDMwGzn6oRiOshVQ3hFhhHHv6J3QpQH8zFlPO5dz92knUHHWvjIk&#10;2vPZYhGWNBqL5bOUDDz3FOceYSRB5dxzNl43flzsnUVdN1RpHJOBKxK60lGDMJGxq2PftFdRmuMb&#10;CIt7bseoXy91/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CQDRR2AAAAAsBAAAPAAAAAAAAAAEA&#10;IAAAACIAAABkcnMvZG93bnJldi54bWxQSwECFAAUAAAACACHTuJAaus20w8CAADxAwAADgAAAAAA&#10;AAABACAAAAAnAQAAZHJzL2Uyb0RvYy54bWxQSwUGAAAAAAYABgBZAQAAqAUAAAAA&#10;">
            <v:path/>
            <v:fill focussize="0,0"/>
            <v:stroke on="f" joinstyle="miter"/>
            <v:imagedata o:title=""/>
            <o:lock v:ext="edit"/>
            <v:textbox>
              <w:txbxContent>
                <w:p>
                  <w:pPr>
                    <w:ind w:firstLine="0" w:firstLineChars="0"/>
                  </w:pPr>
                  <w:r>
                    <w:rPr>
                      <w:rStyle w:val="32"/>
                      <w:rFonts w:hint="eastAsia"/>
                    </w:rPr>
                    <w:t>发布</w:t>
                  </w:r>
                </w:p>
                <w:p>
                  <w:pPr>
                    <w:ind w:firstLine="420"/>
                  </w:pPr>
                </w:p>
              </w:txbxContent>
            </v:textbox>
          </v:shape>
        </w:pict>
      </w:r>
      <w:r>
        <w:rPr>
          <w:sz w:val="28"/>
        </w:rPr>
        <w:pict>
          <v:line id="_x0000_s1028" o:spid="_x0000_s1028" o:spt="20" style="position:absolute;left:0pt;margin-top:290.45pt;height:0pt;width:449.15pt;mso-position-horizontal:right;mso-position-horizontal-relative:margin;z-index:251659264;mso-width-relative:page;mso-height-relative:page;" coordsize="21600,21600" o:gfxdata="UEsDBAoAAAAAAIdO4kAAAAAAAAAAAAAAAAAEAAAAZHJzL1BLAwQUAAAACACHTuJA3ik9MdUAAAAI&#10;AQAADwAAAGRycy9kb3ducmV2LnhtbE2PwU7DMAyG70i8Q2QkbiwZCJZ1TXdA4oCEBBQOHLPGazoa&#10;pyRZW96eICGNo/1bn7+/3M6uZyOG2HlSsFwIYEiNNx21Ct7fHq4ksJg0Gd17QgXfGGFbnZ+VujB+&#10;olcc69SyDKFYaAU2paHgPDYWnY4LPyDlbO+D0ymPoeUm6CnDXc+vhbjjTneUP1g94L3F5rM+ukyh&#10;1dd+7sPHy/OTlfV0wMdxhUpdXizFBljCOZ2O4Vc/q0OVnXb+SCayXkEukhTcSrEGlmO5ljfAdn8b&#10;XpX8f4HqB1BLAwQUAAAACACHTuJAhoTiVMgBAABjAwAADgAAAGRycy9lMm9Eb2MueG1srVPNbhMx&#10;EL4j8Q6W72S3gZRolU0PjcoFQaTCA0y89q4l/8ljsslL8AJI3NoTR+59G8pjMHbStMANkcPEnp9v&#10;/H0zu7jYWcO2MqL2ruVnk5oz6YTvtOtb/vHD1Ys5Z5jAdWC8ky3fS+QXy+fPFmNo5NQP3nQyMgJx&#10;2Iyh5UNKoakqFIO0gBMfpKOg8tFComvsqy7CSOjWVNO6Pq9GH7sQvZCI5F0dgnxZ8JWSIr1XCmVi&#10;puX0tlRsLHaTbbVcQNNHCIMWx2fAP7zCgnbU9AS1ggTsU9R/QVktokev0kR4W3mltJCFA7E5q/9g&#10;cz1AkIULiYPhJBP+P1jxbruOTHctn3LmwNKI7r98//H55ufdV7L3327ZPIs0Bmwo99Kt4/GGYR0z&#10;452KNv8TF7Yrwu5PwspdYoKcs9f1q2k940w8xKrHwhAxvZHesnxoudEuc4YGtm8xUTNKfUjJbuev&#10;tDFlbsaxseXnL2c0WQG0PcpAoqMNxAddzxmYntZSpFgQ0Rvd5eqMg7HfXJrItpBXo/wyUer2W1pu&#10;vQIcDnkldFgaqxNtrtG25fOn1cYRSJbrIFA+bXy3L7oVP02ytDluXV6Vp/dS/fhtLH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3ik9MdUAAAAIAQAADwAAAAAAAAABACAAAAAiAAAAZHJzL2Rvd25y&#10;ZXYueG1sUEsBAhQAFAAAAAgAh07iQIaE4lTIAQAAYwMAAA4AAAAAAAAAAQAgAAAAJAEAAGRycy9l&#10;Mm9Eb2MueG1sUEsFBgAAAAAGAAYAWQEAAF4FAAAAAA==&#10;">
            <v:path arrowok="t"/>
            <v:fill focussize="0,0"/>
            <v:stroke weight="0.5pt" joinstyle="miter"/>
            <v:imagedata o:title=""/>
            <o:lock v:ext="edit"/>
          </v:line>
        </w:pict>
      </w:r>
    </w:p>
    <w:p>
      <w:pPr>
        <w:ind w:firstLine="0" w:firstLineChars="0"/>
        <w:rPr>
          <w:rFonts w:ascii="黑体" w:hAnsi="黑体" w:eastAsia="黑体"/>
          <w:bCs/>
          <w:sz w:val="28"/>
          <w:szCs w:val="44"/>
        </w:rPr>
        <w:sectPr>
          <w:headerReference r:id="rId5" w:type="first"/>
          <w:footerReference r:id="rId8" w:type="first"/>
          <w:headerReference r:id="rId3" w:type="default"/>
          <w:footerReference r:id="rId6" w:type="default"/>
          <w:headerReference r:id="rId4" w:type="even"/>
          <w:footerReference r:id="rId7" w:type="even"/>
          <w:pgSz w:w="11906" w:h="16838"/>
          <w:pgMar w:top="1440" w:right="1440" w:bottom="1440" w:left="1440" w:header="567" w:footer="567" w:gutter="0"/>
          <w:pgNumType w:start="1"/>
          <w:cols w:space="720" w:num="1"/>
          <w:titlePg/>
          <w:docGrid w:type="linesAndChars" w:linePitch="312" w:charSpace="0"/>
        </w:sectPr>
      </w:pPr>
      <w:bookmarkStart w:id="51" w:name="_GoBack"/>
      <w:bookmarkEnd w:id="51"/>
    </w:p>
    <w:bookmarkEnd w:id="0"/>
    <w:bookmarkEnd w:id="1"/>
    <w:p>
      <w:pPr>
        <w:pStyle w:val="45"/>
        <w:tabs>
          <w:tab w:val="left" w:pos="2520"/>
          <w:tab w:val="center" w:pos="4746"/>
        </w:tabs>
        <w:spacing w:after="240" w:line="240" w:lineRule="atLeast"/>
        <w:ind w:firstLine="420"/>
        <w:rPr>
          <w:rFonts w:ascii="黑体" w:hAnsi="黑体" w:eastAsia="黑体" w:cs="黑体"/>
          <w:color w:val="auto"/>
        </w:rPr>
      </w:pPr>
      <w:bookmarkStart w:id="6" w:name="_Toc28299"/>
      <w:r>
        <w:rPr>
          <w:rFonts w:ascii="黑体" w:hAnsi="黑体" w:eastAsia="黑体" w:cs="黑体"/>
          <w:color w:val="auto"/>
        </w:rPr>
        <w:tab/>
      </w:r>
      <w:r>
        <w:rPr>
          <w:rFonts w:ascii="黑体" w:hAnsi="黑体" w:eastAsia="黑体" w:cs="黑体"/>
          <w:color w:val="auto"/>
        </w:rPr>
        <w:tab/>
      </w:r>
      <w:r>
        <w:rPr>
          <w:rFonts w:hint="eastAsia" w:ascii="黑体" w:hAnsi="黑体" w:eastAsia="黑体" w:cs="黑体"/>
          <w:color w:val="auto"/>
          <w:lang w:val="zh-CN"/>
        </w:rPr>
        <w:t>目</w:t>
      </w:r>
      <w:r>
        <w:rPr>
          <w:rFonts w:hint="eastAsia" w:ascii="黑体" w:hAnsi="黑体" w:eastAsia="黑体" w:cs="黑体"/>
          <w:color w:val="auto"/>
        </w:rPr>
        <w:t xml:space="preserve"> </w:t>
      </w:r>
      <w:r>
        <w:rPr>
          <w:rFonts w:ascii="黑体" w:hAnsi="黑体" w:eastAsia="黑体" w:cs="黑体"/>
          <w:color w:val="auto"/>
        </w:rPr>
        <w:t xml:space="preserve"> </w:t>
      </w:r>
      <w:bookmarkEnd w:id="6"/>
      <w:r>
        <w:rPr>
          <w:rFonts w:hint="eastAsia" w:ascii="黑体" w:hAnsi="黑体" w:eastAsia="黑体" w:cs="黑体"/>
          <w:color w:val="auto"/>
          <w:lang w:val="zh-CN"/>
        </w:rPr>
        <w:t>次</w:t>
      </w:r>
    </w:p>
    <w:p>
      <w:pPr>
        <w:pStyle w:val="19"/>
        <w:tabs>
          <w:tab w:val="right" w:leader="dot" w:pos="8710"/>
        </w:tabs>
        <w:ind w:firstLine="420"/>
      </w:pPr>
      <w:r>
        <w:rPr>
          <w:lang w:val="zh-CN"/>
        </w:rPr>
        <w:fldChar w:fldCharType="begin"/>
      </w:r>
      <w:r>
        <w:instrText xml:space="preserve"> </w:instrText>
      </w:r>
      <w:r>
        <w:rPr>
          <w:rFonts w:hint="eastAsia"/>
        </w:rPr>
        <w:instrText xml:space="preserve">TOC \o "1-1" \u</w:instrText>
      </w:r>
      <w:r>
        <w:instrText xml:space="preserve"> </w:instrText>
      </w:r>
      <w:r>
        <w:rPr>
          <w:lang w:val="zh-CN"/>
        </w:rPr>
        <w:fldChar w:fldCharType="separate"/>
      </w:r>
      <w:r>
        <w:t>前言</w:t>
      </w:r>
      <w:r>
        <w:tab/>
      </w:r>
      <w:r>
        <w:fldChar w:fldCharType="begin"/>
      </w:r>
      <w:r>
        <w:instrText xml:space="preserve"> PAGEREF _Toc520501667 \h </w:instrText>
      </w:r>
      <w:r>
        <w:fldChar w:fldCharType="separate"/>
      </w:r>
      <w:r>
        <w:t>II</w:t>
      </w:r>
      <w:r>
        <w:fldChar w:fldCharType="end"/>
      </w:r>
    </w:p>
    <w:p>
      <w:pPr>
        <w:pStyle w:val="19"/>
        <w:tabs>
          <w:tab w:val="right" w:leader="dot" w:pos="8710"/>
        </w:tabs>
        <w:ind w:firstLine="420"/>
      </w:pPr>
      <w:r>
        <w:t>1 范围</w:t>
      </w:r>
      <w:r>
        <w:tab/>
      </w:r>
      <w:r>
        <w:fldChar w:fldCharType="begin"/>
      </w:r>
      <w:r>
        <w:instrText xml:space="preserve"> PAGEREF _Toc520501668 \h </w:instrText>
      </w:r>
      <w:r>
        <w:fldChar w:fldCharType="separate"/>
      </w:r>
      <w:r>
        <w:t>1</w:t>
      </w:r>
      <w:r>
        <w:fldChar w:fldCharType="end"/>
      </w:r>
    </w:p>
    <w:p>
      <w:pPr>
        <w:pStyle w:val="19"/>
        <w:tabs>
          <w:tab w:val="right" w:leader="dot" w:pos="8710"/>
        </w:tabs>
        <w:ind w:firstLine="420"/>
      </w:pPr>
      <w:r>
        <w:t>2 规范性引用文件</w:t>
      </w:r>
      <w:r>
        <w:tab/>
      </w:r>
      <w:r>
        <w:fldChar w:fldCharType="begin"/>
      </w:r>
      <w:r>
        <w:instrText xml:space="preserve"> PAGEREF _Toc520501669 \h </w:instrText>
      </w:r>
      <w:r>
        <w:fldChar w:fldCharType="separate"/>
      </w:r>
      <w:r>
        <w:t>1</w:t>
      </w:r>
      <w:r>
        <w:fldChar w:fldCharType="end"/>
      </w:r>
    </w:p>
    <w:p>
      <w:pPr>
        <w:pStyle w:val="19"/>
        <w:tabs>
          <w:tab w:val="right" w:leader="dot" w:pos="8710"/>
        </w:tabs>
        <w:ind w:firstLine="420"/>
      </w:pPr>
      <w:r>
        <w:t>3 术语和定义</w:t>
      </w:r>
      <w:r>
        <w:tab/>
      </w:r>
      <w:r>
        <w:fldChar w:fldCharType="begin"/>
      </w:r>
      <w:r>
        <w:instrText xml:space="preserve"> PAGEREF _Toc520501670 \h </w:instrText>
      </w:r>
      <w:r>
        <w:fldChar w:fldCharType="separate"/>
      </w:r>
      <w:r>
        <w:t>1</w:t>
      </w:r>
      <w:r>
        <w:fldChar w:fldCharType="end"/>
      </w:r>
    </w:p>
    <w:p>
      <w:pPr>
        <w:pStyle w:val="19"/>
        <w:tabs>
          <w:tab w:val="right" w:leader="dot" w:pos="8710"/>
        </w:tabs>
        <w:ind w:firstLine="420"/>
      </w:pPr>
      <w:r>
        <w:t>4 道路运输车辆主动安全智能防控系统架构</w:t>
      </w:r>
      <w:r>
        <w:tab/>
      </w:r>
      <w:r>
        <w:fldChar w:fldCharType="begin"/>
      </w:r>
      <w:r>
        <w:instrText xml:space="preserve"> PAGEREF _Toc520501671 \h </w:instrText>
      </w:r>
      <w:r>
        <w:fldChar w:fldCharType="separate"/>
      </w:r>
      <w:r>
        <w:t>2</w:t>
      </w:r>
      <w:r>
        <w:fldChar w:fldCharType="end"/>
      </w:r>
    </w:p>
    <w:p>
      <w:pPr>
        <w:pStyle w:val="19"/>
        <w:tabs>
          <w:tab w:val="right" w:leader="dot" w:pos="8710"/>
        </w:tabs>
        <w:ind w:firstLine="420"/>
      </w:pPr>
      <w:r>
        <w:t>5 政府安全监管平台</w:t>
      </w:r>
      <w:r>
        <w:tab/>
      </w:r>
      <w:r>
        <w:fldChar w:fldCharType="begin"/>
      </w:r>
      <w:r>
        <w:instrText xml:space="preserve"> PAGEREF _Toc520501672 \h </w:instrText>
      </w:r>
      <w:r>
        <w:fldChar w:fldCharType="separate"/>
      </w:r>
      <w:r>
        <w:t>3</w:t>
      </w:r>
      <w:r>
        <w:fldChar w:fldCharType="end"/>
      </w:r>
    </w:p>
    <w:p>
      <w:pPr>
        <w:pStyle w:val="19"/>
        <w:tabs>
          <w:tab w:val="right" w:leader="dot" w:pos="8710"/>
        </w:tabs>
        <w:ind w:firstLine="420"/>
      </w:pPr>
      <w:r>
        <w:t>6 企业安全监控平台</w:t>
      </w:r>
      <w:r>
        <w:tab/>
      </w:r>
      <w:r>
        <w:fldChar w:fldCharType="begin"/>
      </w:r>
      <w:r>
        <w:instrText xml:space="preserve"> PAGEREF _Toc520501673 \h </w:instrText>
      </w:r>
      <w:r>
        <w:fldChar w:fldCharType="separate"/>
      </w:r>
      <w:r>
        <w:t>6</w:t>
      </w:r>
      <w:r>
        <w:fldChar w:fldCharType="end"/>
      </w:r>
    </w:p>
    <w:p>
      <w:pPr>
        <w:pStyle w:val="19"/>
        <w:tabs>
          <w:tab w:val="right" w:leader="dot" w:pos="8710"/>
        </w:tabs>
        <w:ind w:firstLine="420"/>
      </w:pPr>
      <w:r>
        <w:t>7 主动安全智能防控平台性能与技术指标</w:t>
      </w:r>
      <w:r>
        <w:tab/>
      </w:r>
      <w:r>
        <w:fldChar w:fldCharType="begin"/>
      </w:r>
      <w:r>
        <w:instrText xml:space="preserve"> PAGEREF _Toc520501674 \h </w:instrText>
      </w:r>
      <w:r>
        <w:fldChar w:fldCharType="separate"/>
      </w:r>
      <w:r>
        <w:t>8</w:t>
      </w:r>
      <w:r>
        <w:fldChar w:fldCharType="end"/>
      </w:r>
    </w:p>
    <w:p>
      <w:pPr>
        <w:pStyle w:val="19"/>
        <w:tabs>
          <w:tab w:val="right" w:leader="dot" w:pos="8710"/>
        </w:tabs>
        <w:ind w:firstLine="420"/>
      </w:pPr>
      <w:r>
        <w:rPr>
          <w:lang w:val="zh-CN"/>
        </w:rPr>
        <w:fldChar w:fldCharType="end"/>
      </w:r>
      <w:bookmarkStart w:id="7" w:name="_Toc498008873"/>
      <w:bookmarkStart w:id="8" w:name="_Toc496600963"/>
    </w:p>
    <w:p>
      <w:pPr>
        <w:widowControl/>
        <w:spacing w:line="240" w:lineRule="auto"/>
        <w:ind w:firstLine="0" w:firstLineChars="0"/>
        <w:jc w:val="left"/>
      </w:pPr>
      <w:r>
        <w:br w:type="page"/>
      </w:r>
    </w:p>
    <w:p>
      <w:pPr>
        <w:pStyle w:val="2"/>
        <w:spacing w:beforeLines="50" w:afterLines="50"/>
        <w:jc w:val="center"/>
        <w:rPr>
          <w:rFonts w:ascii="黑体" w:hAnsi="黑体" w:eastAsia="黑体"/>
          <w:b w:val="0"/>
          <w:szCs w:val="32"/>
        </w:rPr>
      </w:pPr>
      <w:bookmarkStart w:id="9" w:name="_Toc520501667"/>
      <w:bookmarkStart w:id="10" w:name="_Toc4085"/>
      <w:r>
        <w:rPr>
          <w:rFonts w:ascii="黑体" w:hAnsi="黑体" w:eastAsia="黑体"/>
          <w:b w:val="0"/>
          <w:szCs w:val="32"/>
        </w:rPr>
        <w:t>前</w:t>
      </w:r>
      <w:r>
        <w:rPr>
          <w:rFonts w:hint="eastAsia" w:ascii="黑体" w:hAnsi="黑体" w:eastAsia="黑体"/>
          <w:b w:val="0"/>
          <w:szCs w:val="32"/>
        </w:rPr>
        <w:t xml:space="preserve"> </w:t>
      </w:r>
      <w:r>
        <w:rPr>
          <w:rFonts w:ascii="黑体" w:hAnsi="黑体" w:eastAsia="黑体"/>
          <w:b w:val="0"/>
          <w:szCs w:val="32"/>
        </w:rPr>
        <w:t xml:space="preserve"> 言</w:t>
      </w:r>
      <w:bookmarkEnd w:id="7"/>
      <w:bookmarkEnd w:id="8"/>
      <w:bookmarkEnd w:id="9"/>
      <w:bookmarkEnd w:id="10"/>
    </w:p>
    <w:p>
      <w:pPr>
        <w:pStyle w:val="35"/>
        <w:spacing w:line="520" w:lineRule="exact"/>
        <w:ind w:firstLine="420"/>
        <w:rPr>
          <w:rFonts w:eastAsia="宋体"/>
          <w:kern w:val="2"/>
          <w:szCs w:val="22"/>
        </w:rPr>
      </w:pPr>
      <w:bookmarkStart w:id="11" w:name="OLE_LINK4"/>
      <w:bookmarkStart w:id="12" w:name="OLE_LINK3"/>
      <w:r>
        <w:rPr>
          <w:rFonts w:hint="eastAsia" w:eastAsia="宋体"/>
          <w:kern w:val="2"/>
          <w:szCs w:val="22"/>
        </w:rPr>
        <w:t>本技术要求按照GB/T1.1-2009《标准化工作导则 第1部分：标准的结构和编写规则》编写。</w:t>
      </w:r>
    </w:p>
    <w:p>
      <w:pPr>
        <w:pStyle w:val="35"/>
        <w:spacing w:line="520" w:lineRule="exact"/>
        <w:ind w:firstLine="420"/>
        <w:rPr>
          <w:rFonts w:eastAsia="宋体"/>
          <w:kern w:val="2"/>
          <w:szCs w:val="22"/>
        </w:rPr>
      </w:pPr>
      <w:r>
        <w:rPr>
          <w:rFonts w:hint="eastAsia" w:eastAsia="宋体"/>
          <w:kern w:val="2"/>
          <w:szCs w:val="22"/>
        </w:rPr>
        <w:t>本技术要求由长安大学和陕西省道路运输管理局提出，采用了JT/T 796《道路运输车辆卫星定位系统平台技术要求》、JT/T 1077《道路运输车辆卫星定位系统车载视频平台技术要求》、T/JSATL11-2017《道路运输车辆主动安全智能防控系统平台技术规范》、T/JSATL12-2017《道路运输车辆主动安全智能防控系统通讯协议规范》、T/JSATL13-2017《道路运输车辆主动安全智能防控系统终端技术规范》等标准中的内容，并对部分技术参数进行了修改。</w:t>
      </w:r>
    </w:p>
    <w:p>
      <w:pPr>
        <w:pStyle w:val="35"/>
        <w:spacing w:line="520" w:lineRule="exact"/>
        <w:ind w:firstLine="420"/>
        <w:rPr>
          <w:rFonts w:eastAsia="宋体"/>
          <w:kern w:val="2"/>
          <w:szCs w:val="22"/>
        </w:rPr>
      </w:pPr>
      <w:r>
        <w:rPr>
          <w:rFonts w:hint="eastAsia" w:eastAsia="宋体"/>
          <w:kern w:val="2"/>
          <w:szCs w:val="22"/>
        </w:rPr>
        <w:t>本技术要求起草单位：长安大学、陕西省道路运输管理局、南京三宝科技股份有限公司、西安交通信息投资营运有限公司、西安向南网络信息科技有限公司。</w:t>
      </w:r>
    </w:p>
    <w:p>
      <w:pPr>
        <w:pStyle w:val="35"/>
        <w:spacing w:line="520" w:lineRule="exact"/>
        <w:ind w:firstLine="420"/>
        <w:rPr>
          <w:rFonts w:eastAsia="宋体"/>
          <w:kern w:val="2"/>
          <w:szCs w:val="22"/>
        </w:rPr>
      </w:pPr>
      <w:r>
        <w:rPr>
          <w:rFonts w:hint="eastAsia" w:eastAsia="宋体"/>
          <w:kern w:val="2"/>
          <w:szCs w:val="22"/>
        </w:rPr>
        <w:t>本技术要求主要起草人：余强、曹鑫、史培龙、王晓东、赵轩、郭庆荣、刘民、艾海燕、邓良、杜柳、张玮、刘保兴。</w:t>
      </w:r>
    </w:p>
    <w:bookmarkEnd w:id="11"/>
    <w:bookmarkEnd w:id="12"/>
    <w:p>
      <w:pPr>
        <w:pStyle w:val="35"/>
        <w:tabs>
          <w:tab w:val="left" w:pos="2968"/>
          <w:tab w:val="clear" w:pos="4201"/>
          <w:tab w:val="clear" w:pos="9298"/>
        </w:tabs>
        <w:spacing w:line="520" w:lineRule="exact"/>
        <w:ind w:firstLine="0" w:firstLineChars="0"/>
        <w:rPr>
          <w:szCs w:val="21"/>
        </w:rPr>
      </w:pPr>
    </w:p>
    <w:p>
      <w:pPr>
        <w:pStyle w:val="35"/>
        <w:tabs>
          <w:tab w:val="left" w:pos="2968"/>
          <w:tab w:val="clear" w:pos="4201"/>
          <w:tab w:val="clear" w:pos="9298"/>
        </w:tabs>
        <w:spacing w:line="520" w:lineRule="exact"/>
        <w:ind w:firstLine="0" w:firstLineChars="0"/>
        <w:rPr>
          <w:szCs w:val="21"/>
        </w:rPr>
        <w:sectPr>
          <w:footerReference r:id="rId9" w:type="first"/>
          <w:pgSz w:w="11906" w:h="16838"/>
          <w:pgMar w:top="1418" w:right="1134" w:bottom="1418" w:left="1418" w:header="567" w:footer="567" w:gutter="0"/>
          <w:pgNumType w:fmt="upperRoman" w:start="1"/>
          <w:cols w:space="720" w:num="1"/>
          <w:titlePg/>
          <w:docGrid w:type="linesAndChars" w:linePitch="312" w:charSpace="0"/>
        </w:sectPr>
      </w:pPr>
    </w:p>
    <w:p>
      <w:pPr>
        <w:ind w:firstLine="0" w:firstLineChars="0"/>
        <w:jc w:val="center"/>
        <w:rPr>
          <w:rFonts w:ascii="黑体" w:hAnsi="黑体" w:eastAsia="黑体"/>
          <w:sz w:val="32"/>
          <w:szCs w:val="32"/>
        </w:rPr>
      </w:pPr>
      <w:bookmarkStart w:id="13" w:name="OLE_LINK2"/>
      <w:bookmarkStart w:id="14" w:name="OLE_LINK1"/>
      <w:r>
        <w:rPr>
          <w:rFonts w:hint="eastAsia" w:ascii="黑体" w:hAnsi="黑体" w:eastAsia="黑体"/>
          <w:sz w:val="32"/>
          <w:szCs w:val="32"/>
        </w:rPr>
        <w:t>道路运输车辆</w:t>
      </w:r>
      <w:bookmarkEnd w:id="13"/>
      <w:bookmarkEnd w:id="14"/>
      <w:r>
        <w:rPr>
          <w:rFonts w:hint="eastAsia" w:ascii="黑体" w:hAnsi="黑体" w:eastAsia="黑体"/>
          <w:sz w:val="32"/>
          <w:szCs w:val="32"/>
        </w:rPr>
        <w:t>主动安全智能防控系统</w:t>
      </w:r>
    </w:p>
    <w:p>
      <w:pPr>
        <w:ind w:firstLine="0" w:firstLineChars="0"/>
        <w:jc w:val="center"/>
        <w:rPr>
          <w:rFonts w:ascii="黑体" w:hAnsi="黑体" w:eastAsia="黑体"/>
          <w:sz w:val="32"/>
          <w:szCs w:val="32"/>
        </w:rPr>
      </w:pPr>
      <w:r>
        <w:rPr>
          <w:rFonts w:ascii="黑体" w:hAnsi="黑体" w:eastAsia="黑体"/>
          <w:sz w:val="32"/>
          <w:szCs w:val="32"/>
        </w:rPr>
        <w:t>平台技术</w:t>
      </w:r>
      <w:r>
        <w:rPr>
          <w:rFonts w:hint="eastAsia" w:ascii="黑体" w:hAnsi="黑体" w:eastAsia="黑体"/>
          <w:sz w:val="32"/>
          <w:szCs w:val="32"/>
        </w:rPr>
        <w:t>要求</w:t>
      </w:r>
    </w:p>
    <w:p>
      <w:pPr>
        <w:pStyle w:val="2"/>
        <w:numPr>
          <w:ilvl w:val="0"/>
          <w:numId w:val="1"/>
        </w:numPr>
        <w:spacing w:beforeLines="50" w:afterLines="50"/>
        <w:ind w:left="0" w:firstLine="0"/>
        <w:rPr>
          <w:rFonts w:ascii="黑体" w:hAnsi="黑体" w:eastAsia="黑体"/>
          <w:b w:val="0"/>
          <w:sz w:val="21"/>
          <w:szCs w:val="21"/>
        </w:rPr>
      </w:pPr>
      <w:bookmarkStart w:id="15" w:name="_Toc24022"/>
      <w:bookmarkStart w:id="16" w:name="_Toc498008874"/>
      <w:r>
        <w:rPr>
          <w:rFonts w:hint="eastAsia" w:ascii="黑体" w:hAnsi="黑体" w:eastAsia="黑体"/>
          <w:b w:val="0"/>
          <w:sz w:val="21"/>
          <w:szCs w:val="21"/>
        </w:rPr>
        <w:t xml:space="preserve">  </w:t>
      </w:r>
      <w:bookmarkStart w:id="17" w:name="_Toc520501668"/>
      <w:r>
        <w:rPr>
          <w:rFonts w:hint="eastAsia" w:ascii="黑体" w:hAnsi="黑体" w:eastAsia="黑体"/>
          <w:b w:val="0"/>
          <w:sz w:val="21"/>
          <w:szCs w:val="21"/>
        </w:rPr>
        <w:t>范围</w:t>
      </w:r>
      <w:bookmarkEnd w:id="15"/>
      <w:bookmarkEnd w:id="16"/>
      <w:bookmarkEnd w:id="17"/>
    </w:p>
    <w:p>
      <w:pPr>
        <w:ind w:firstLine="424" w:firstLineChars="202"/>
        <w:rPr>
          <w:rFonts w:ascii="宋体" w:hAnsi="宋体"/>
        </w:rPr>
      </w:pPr>
      <w:r>
        <w:rPr>
          <w:rFonts w:hint="eastAsia" w:ascii="宋体" w:hAnsi="宋体"/>
        </w:rPr>
        <w:t>本技术要求规定了道路运输车辆主动安全智能防控</w:t>
      </w:r>
      <w:r>
        <w:rPr>
          <w:rFonts w:ascii="宋体" w:hAnsi="宋体"/>
        </w:rPr>
        <w:t>系统架构</w:t>
      </w:r>
      <w:r>
        <w:rPr>
          <w:rFonts w:hint="eastAsia" w:ascii="宋体" w:hAnsi="宋体"/>
        </w:rPr>
        <w:t>，</w:t>
      </w:r>
      <w:r>
        <w:rPr>
          <w:rFonts w:ascii="宋体" w:hAnsi="宋体"/>
        </w:rPr>
        <w:t>以及道路运输车辆主动安全智能防控系统中政府安全监管平台和企业安全监控平台的</w:t>
      </w:r>
      <w:r>
        <w:rPr>
          <w:rFonts w:hint="eastAsia" w:ascii="宋体" w:hAnsi="宋体"/>
        </w:rPr>
        <w:t>功能要求、</w:t>
      </w:r>
      <w:r>
        <w:rPr>
          <w:rFonts w:ascii="宋体" w:hAnsi="宋体"/>
        </w:rPr>
        <w:t>性能要求与</w:t>
      </w:r>
      <w:r>
        <w:rPr>
          <w:rFonts w:hint="eastAsia" w:ascii="宋体" w:hAnsi="宋体"/>
        </w:rPr>
        <w:t>技术要求等内容。</w:t>
      </w:r>
    </w:p>
    <w:p>
      <w:pPr>
        <w:ind w:firstLine="424" w:firstLineChars="202"/>
        <w:rPr>
          <w:rFonts w:ascii="宋体" w:hAnsi="宋体"/>
        </w:rPr>
      </w:pPr>
      <w:r>
        <w:rPr>
          <w:rFonts w:ascii="宋体" w:hAnsi="宋体"/>
        </w:rPr>
        <w:t>本</w:t>
      </w:r>
      <w:r>
        <w:rPr>
          <w:rFonts w:hint="eastAsia" w:ascii="宋体" w:hAnsi="宋体"/>
        </w:rPr>
        <w:t>技术要求</w:t>
      </w:r>
      <w:r>
        <w:rPr>
          <w:rFonts w:ascii="宋体" w:hAnsi="宋体"/>
        </w:rPr>
        <w:t>适用于</w:t>
      </w:r>
      <w:r>
        <w:rPr>
          <w:rFonts w:hint="eastAsia" w:ascii="宋体" w:hAnsi="宋体"/>
        </w:rPr>
        <w:t>道路运输车辆主动安全智能防控系统政府安全监管平台和企业安全监控平台</w:t>
      </w:r>
      <w:r>
        <w:rPr>
          <w:rFonts w:ascii="宋体" w:hAnsi="宋体"/>
        </w:rPr>
        <w:t>的</w:t>
      </w:r>
      <w:r>
        <w:rPr>
          <w:rFonts w:hint="eastAsia" w:ascii="宋体" w:hAnsi="宋体"/>
        </w:rPr>
        <w:t>建设。</w:t>
      </w:r>
    </w:p>
    <w:p>
      <w:pPr>
        <w:pStyle w:val="2"/>
        <w:numPr>
          <w:ilvl w:val="0"/>
          <w:numId w:val="1"/>
        </w:numPr>
        <w:spacing w:beforeLines="50" w:afterLines="50"/>
        <w:ind w:left="0" w:firstLine="0"/>
        <w:rPr>
          <w:rFonts w:ascii="黑体" w:hAnsi="黑体" w:eastAsia="黑体"/>
          <w:b w:val="0"/>
          <w:sz w:val="21"/>
          <w:szCs w:val="21"/>
        </w:rPr>
      </w:pPr>
      <w:bookmarkStart w:id="18" w:name="_Toc498008875"/>
      <w:bookmarkStart w:id="19" w:name="_Toc584"/>
      <w:r>
        <w:rPr>
          <w:rFonts w:hint="eastAsia" w:ascii="黑体" w:hAnsi="黑体" w:eastAsia="黑体"/>
          <w:b w:val="0"/>
          <w:sz w:val="21"/>
          <w:szCs w:val="21"/>
        </w:rPr>
        <w:t xml:space="preserve">  </w:t>
      </w:r>
      <w:bookmarkStart w:id="20" w:name="_Toc520501669"/>
      <w:r>
        <w:rPr>
          <w:rFonts w:hint="eastAsia" w:ascii="黑体" w:hAnsi="黑体" w:eastAsia="黑体"/>
          <w:b w:val="0"/>
          <w:sz w:val="21"/>
          <w:szCs w:val="21"/>
        </w:rPr>
        <w:t>规范性引用文件</w:t>
      </w:r>
      <w:bookmarkEnd w:id="18"/>
      <w:bookmarkEnd w:id="19"/>
      <w:bookmarkEnd w:id="20"/>
    </w:p>
    <w:p>
      <w:pPr>
        <w:ind w:firstLine="424" w:firstLineChars="202"/>
        <w:rPr>
          <w:rFonts w:ascii="宋体" w:hAnsi="宋体"/>
        </w:rPr>
      </w:pPr>
      <w:r>
        <w:rPr>
          <w:rFonts w:hint="eastAsia" w:ascii="宋体" w:hAnsi="宋体"/>
        </w:rPr>
        <w:t>下列文件对于本文件的应用是必不可少的。凡是注日期的引用文件，仅注日期的版本适用于本文件，凡是不注日期的引用文件，其最新版本（包括所有的修改单）适用于本文件。</w:t>
      </w:r>
    </w:p>
    <w:p>
      <w:pPr>
        <w:ind w:firstLine="424" w:firstLineChars="202"/>
        <w:rPr>
          <w:rFonts w:ascii="宋体" w:hAnsi="宋体"/>
        </w:rPr>
      </w:pPr>
      <w:r>
        <w:rPr>
          <w:rFonts w:hint="eastAsia" w:ascii="宋体" w:hAnsi="宋体"/>
        </w:rPr>
        <w:t>JT/T 79</w:t>
      </w:r>
      <w:r>
        <w:rPr>
          <w:rFonts w:ascii="宋体" w:hAnsi="宋体"/>
        </w:rPr>
        <w:t>4</w:t>
      </w:r>
      <w:r>
        <w:rPr>
          <w:rFonts w:hint="eastAsia" w:ascii="宋体" w:hAnsi="宋体"/>
        </w:rPr>
        <w:t xml:space="preserve"> 道路运输车辆卫星定位系统北斗兼容车载终端技术规范</w:t>
      </w:r>
    </w:p>
    <w:p>
      <w:pPr>
        <w:ind w:firstLine="424" w:firstLineChars="202"/>
        <w:rPr>
          <w:rFonts w:ascii="宋体" w:hAnsi="宋体"/>
        </w:rPr>
      </w:pPr>
      <w:r>
        <w:rPr>
          <w:rFonts w:hint="eastAsia" w:ascii="宋体" w:hAnsi="宋体"/>
        </w:rPr>
        <w:t>JT/T 796 道路运输车辆卫星定位系统平台技术要求</w:t>
      </w:r>
    </w:p>
    <w:p>
      <w:pPr>
        <w:ind w:firstLine="424" w:firstLineChars="202"/>
        <w:rPr>
          <w:rFonts w:ascii="宋体" w:hAnsi="宋体"/>
        </w:rPr>
      </w:pPr>
      <w:r>
        <w:rPr>
          <w:rFonts w:hint="eastAsia" w:ascii="宋体" w:hAnsi="宋体"/>
        </w:rPr>
        <w:t>JT/T 107</w:t>
      </w:r>
      <w:r>
        <w:rPr>
          <w:rFonts w:ascii="宋体" w:hAnsi="宋体"/>
        </w:rPr>
        <w:t xml:space="preserve">6 </w:t>
      </w:r>
      <w:r>
        <w:rPr>
          <w:rFonts w:hint="eastAsia" w:ascii="宋体" w:hAnsi="宋体"/>
        </w:rPr>
        <w:t>道路运输车辆卫星定位系统车载视频终端技术要求</w:t>
      </w:r>
    </w:p>
    <w:p>
      <w:pPr>
        <w:ind w:firstLine="424" w:firstLineChars="202"/>
        <w:rPr>
          <w:rFonts w:ascii="宋体" w:hAnsi="宋体"/>
        </w:rPr>
      </w:pPr>
      <w:r>
        <w:rPr>
          <w:rFonts w:hint="eastAsia" w:ascii="宋体" w:hAnsi="宋体"/>
        </w:rPr>
        <w:t>JT/T 1077 道路运输车辆卫星定位系统车载视频平台技术要求</w:t>
      </w:r>
    </w:p>
    <w:p>
      <w:pPr>
        <w:ind w:firstLine="424" w:firstLineChars="202"/>
        <w:rPr>
          <w:rFonts w:ascii="宋体" w:hAnsi="宋体"/>
        </w:rPr>
      </w:pPr>
      <w:r>
        <w:rPr>
          <w:rFonts w:hint="eastAsia" w:ascii="宋体" w:hAnsi="宋体"/>
        </w:rPr>
        <w:t>JT/T 1078 道路运输车辆卫星定位系统车载视频通信协议</w:t>
      </w:r>
    </w:p>
    <w:p>
      <w:pPr>
        <w:ind w:firstLine="424" w:firstLineChars="202"/>
        <w:rPr>
          <w:rFonts w:ascii="宋体" w:hAnsi="宋体"/>
        </w:rPr>
      </w:pPr>
      <w:r>
        <w:rPr>
          <w:rFonts w:hint="eastAsia" w:ascii="宋体" w:hAnsi="宋体"/>
        </w:rPr>
        <w:t>T/JSATL11-2017</w:t>
      </w:r>
      <w:r>
        <w:rPr>
          <w:rFonts w:ascii="宋体" w:hAnsi="宋体"/>
        </w:rPr>
        <w:t xml:space="preserve"> </w:t>
      </w:r>
      <w:r>
        <w:rPr>
          <w:rFonts w:hint="eastAsia" w:ascii="宋体" w:hAnsi="宋体"/>
        </w:rPr>
        <w:t>道路运输车辆主动安全智能防控系统平台技术规范</w:t>
      </w:r>
    </w:p>
    <w:p>
      <w:pPr>
        <w:pStyle w:val="2"/>
        <w:numPr>
          <w:ilvl w:val="0"/>
          <w:numId w:val="1"/>
        </w:numPr>
        <w:spacing w:beforeLines="50" w:afterLines="50"/>
        <w:ind w:left="0" w:firstLine="0"/>
        <w:rPr>
          <w:rFonts w:ascii="黑体" w:hAnsi="黑体" w:eastAsia="黑体"/>
          <w:b w:val="0"/>
          <w:sz w:val="21"/>
          <w:szCs w:val="21"/>
        </w:rPr>
      </w:pPr>
      <w:bookmarkStart w:id="21" w:name="_Toc15714"/>
      <w:bookmarkStart w:id="22" w:name="_Toc498008876"/>
      <w:r>
        <w:rPr>
          <w:rFonts w:hint="eastAsia" w:ascii="黑体" w:hAnsi="黑体" w:eastAsia="黑体"/>
          <w:b w:val="0"/>
          <w:sz w:val="21"/>
          <w:szCs w:val="21"/>
        </w:rPr>
        <w:t xml:space="preserve">  </w:t>
      </w:r>
      <w:bookmarkStart w:id="23" w:name="_Toc520501670"/>
      <w:r>
        <w:rPr>
          <w:rFonts w:hint="eastAsia" w:ascii="黑体" w:hAnsi="黑体" w:eastAsia="黑体"/>
          <w:b w:val="0"/>
          <w:sz w:val="21"/>
          <w:szCs w:val="21"/>
        </w:rPr>
        <w:t>术语</w:t>
      </w:r>
      <w:r>
        <w:rPr>
          <w:rFonts w:ascii="黑体" w:hAnsi="黑体" w:eastAsia="黑体"/>
          <w:b w:val="0"/>
          <w:sz w:val="21"/>
          <w:szCs w:val="21"/>
        </w:rPr>
        <w:t>和定义</w:t>
      </w:r>
      <w:bookmarkEnd w:id="21"/>
      <w:bookmarkEnd w:id="22"/>
      <w:bookmarkEnd w:id="23"/>
    </w:p>
    <w:p>
      <w:pPr>
        <w:ind w:firstLine="420"/>
        <w:rPr>
          <w:rFonts w:ascii="宋体" w:hAnsi="宋体"/>
        </w:rPr>
      </w:pPr>
      <w:r>
        <w:rPr>
          <w:rFonts w:hint="eastAsia" w:ascii="宋体" w:hAnsi="宋体"/>
        </w:rPr>
        <w:t>JT/T 79</w:t>
      </w:r>
      <w:r>
        <w:rPr>
          <w:rFonts w:ascii="宋体" w:hAnsi="宋体"/>
        </w:rPr>
        <w:t>4</w:t>
      </w:r>
      <w:r>
        <w:rPr>
          <w:rFonts w:hint="eastAsia" w:ascii="宋体" w:hAnsi="宋体"/>
        </w:rPr>
        <w:t>、JT/T 79</w:t>
      </w:r>
      <w:r>
        <w:rPr>
          <w:rFonts w:ascii="宋体" w:hAnsi="宋体"/>
        </w:rPr>
        <w:t>6</w:t>
      </w:r>
      <w:r>
        <w:rPr>
          <w:rFonts w:hint="eastAsia" w:ascii="宋体" w:hAnsi="宋体"/>
        </w:rPr>
        <w:t>、</w:t>
      </w:r>
      <w:r>
        <w:rPr>
          <w:rFonts w:ascii="宋体" w:hAnsi="宋体"/>
        </w:rPr>
        <w:t>JT/T 1076、JT/T 1077、JT/T 1078</w:t>
      </w:r>
      <w:r>
        <w:rPr>
          <w:rFonts w:hint="eastAsia" w:ascii="宋体" w:hAnsi="宋体"/>
        </w:rPr>
        <w:t>、T/JSATL11-2017中界定的以及下列术语和定义适用于本文件。</w:t>
      </w:r>
    </w:p>
    <w:p>
      <w:pPr>
        <w:pStyle w:val="3"/>
        <w:numPr>
          <w:ilvl w:val="1"/>
          <w:numId w:val="1"/>
        </w:numPr>
        <w:spacing w:before="156" w:after="156"/>
        <w:ind w:left="567"/>
        <w:rPr>
          <w:rFonts w:ascii="黑体" w:hAnsi="黑体" w:eastAsia="黑体"/>
          <w:b w:val="0"/>
          <w:sz w:val="21"/>
          <w:szCs w:val="21"/>
        </w:rPr>
      </w:pPr>
      <w:bookmarkStart w:id="24" w:name="_Toc496263434"/>
    </w:p>
    <w:p>
      <w:pPr>
        <w:ind w:firstLine="420"/>
        <w:rPr>
          <w:rFonts w:ascii="黑体" w:hAnsi="黑体" w:eastAsia="黑体"/>
          <w:b/>
        </w:rPr>
      </w:pPr>
      <w:r>
        <w:rPr>
          <w:rFonts w:ascii="黑体" w:hAnsi="黑体" w:eastAsia="黑体"/>
        </w:rPr>
        <w:t>政府安全监管平台  government active safety management platform</w:t>
      </w:r>
    </w:p>
    <w:p>
      <w:pPr>
        <w:ind w:firstLine="424" w:firstLineChars="202"/>
        <w:rPr>
          <w:rFonts w:ascii="宋体" w:hAnsi="宋体"/>
        </w:rPr>
      </w:pPr>
      <w:r>
        <w:rPr>
          <w:rFonts w:hint="eastAsia" w:ascii="宋体" w:hAnsi="宋体"/>
        </w:rPr>
        <w:t>政府安全监管平台</w:t>
      </w:r>
      <w:r>
        <w:rPr>
          <w:rFonts w:ascii="宋体" w:hAnsi="宋体"/>
        </w:rPr>
        <w:t>提供对下级</w:t>
      </w:r>
      <w:r>
        <w:rPr>
          <w:rFonts w:hint="eastAsia" w:ascii="宋体" w:hAnsi="宋体"/>
        </w:rPr>
        <w:t>政府安全监管</w:t>
      </w:r>
      <w:r>
        <w:rPr>
          <w:rFonts w:ascii="宋体" w:hAnsi="宋体"/>
        </w:rPr>
        <w:t>平台和企业安全监</w:t>
      </w:r>
      <w:r>
        <w:rPr>
          <w:rFonts w:hint="eastAsia" w:ascii="宋体" w:hAnsi="宋体"/>
        </w:rPr>
        <w:t>控</w:t>
      </w:r>
      <w:r>
        <w:rPr>
          <w:rFonts w:ascii="宋体" w:hAnsi="宋体"/>
        </w:rPr>
        <w:t>平台</w:t>
      </w:r>
      <w:r>
        <w:rPr>
          <w:rFonts w:hint="eastAsia" w:ascii="宋体" w:hAnsi="宋体"/>
        </w:rPr>
        <w:t>，</w:t>
      </w:r>
      <w:r>
        <w:rPr>
          <w:rFonts w:ascii="宋体" w:hAnsi="宋体"/>
        </w:rPr>
        <w:t>以及跨域车辆所属企业安全监</w:t>
      </w:r>
      <w:r>
        <w:rPr>
          <w:rFonts w:hint="eastAsia" w:ascii="宋体" w:hAnsi="宋体"/>
        </w:rPr>
        <w:t>控</w:t>
      </w:r>
      <w:r>
        <w:rPr>
          <w:rFonts w:ascii="宋体" w:hAnsi="宋体"/>
        </w:rPr>
        <w:t>平台上车辆主动安全报警信息的查询与管理。</w:t>
      </w:r>
    </w:p>
    <w:p>
      <w:pPr>
        <w:pStyle w:val="3"/>
        <w:numPr>
          <w:ilvl w:val="1"/>
          <w:numId w:val="1"/>
        </w:numPr>
        <w:spacing w:before="156" w:after="156"/>
        <w:ind w:left="567"/>
        <w:rPr>
          <w:rFonts w:ascii="黑体" w:hAnsi="黑体" w:eastAsia="黑体"/>
          <w:b w:val="0"/>
          <w:sz w:val="21"/>
          <w:szCs w:val="21"/>
        </w:rPr>
      </w:pPr>
    </w:p>
    <w:p>
      <w:pPr>
        <w:ind w:firstLine="420"/>
        <w:rPr>
          <w:rFonts w:ascii="黑体" w:hAnsi="黑体" w:eastAsia="黑体"/>
        </w:rPr>
      </w:pPr>
      <w:r>
        <w:rPr>
          <w:rFonts w:hint="eastAsia" w:ascii="黑体" w:hAnsi="黑体" w:eastAsia="黑体"/>
        </w:rPr>
        <w:t>企业安全</w:t>
      </w:r>
      <w:r>
        <w:rPr>
          <w:rFonts w:ascii="黑体" w:hAnsi="黑体" w:eastAsia="黑体"/>
        </w:rPr>
        <w:t xml:space="preserve">监控平台 </w:t>
      </w:r>
      <w:r>
        <w:rPr>
          <w:rFonts w:hint="eastAsia" w:ascii="黑体" w:hAnsi="黑体" w:eastAsia="黑体"/>
        </w:rPr>
        <w:t xml:space="preserve"> </w:t>
      </w:r>
      <w:r>
        <w:rPr>
          <w:rFonts w:ascii="黑体" w:hAnsi="黑体" w:eastAsia="黑体"/>
        </w:rPr>
        <w:t>enterprise active safety management platform</w:t>
      </w:r>
    </w:p>
    <w:p>
      <w:pPr>
        <w:ind w:firstLine="424" w:firstLineChars="202"/>
        <w:rPr>
          <w:rFonts w:ascii="宋体" w:hAnsi="宋体"/>
        </w:rPr>
      </w:pPr>
      <w:r>
        <w:rPr>
          <w:rFonts w:ascii="宋体" w:hAnsi="宋体"/>
        </w:rPr>
        <w:t>企业安全监控平台提供</w:t>
      </w:r>
      <w:r>
        <w:rPr>
          <w:rFonts w:hint="eastAsia" w:ascii="宋体" w:hAnsi="宋体"/>
        </w:rPr>
        <w:t>主动</w:t>
      </w:r>
      <w:r>
        <w:rPr>
          <w:rFonts w:ascii="宋体" w:hAnsi="宋体"/>
        </w:rPr>
        <w:t>安全智能防控终端</w:t>
      </w:r>
      <w:r>
        <w:rPr>
          <w:rFonts w:hint="eastAsia" w:ascii="宋体" w:hAnsi="宋体"/>
        </w:rPr>
        <w:t>报警</w:t>
      </w:r>
      <w:r>
        <w:rPr>
          <w:rFonts w:ascii="宋体" w:hAnsi="宋体"/>
        </w:rPr>
        <w:t>数据存储及</w:t>
      </w:r>
      <w:r>
        <w:rPr>
          <w:rFonts w:hint="eastAsia" w:ascii="宋体" w:hAnsi="宋体"/>
        </w:rPr>
        <w:t>查询</w:t>
      </w:r>
      <w:r>
        <w:rPr>
          <w:rFonts w:ascii="宋体" w:hAnsi="宋体"/>
        </w:rPr>
        <w:t>、主动安全态势分析</w:t>
      </w:r>
      <w:r>
        <w:rPr>
          <w:rFonts w:hint="eastAsia" w:ascii="宋体" w:hAnsi="宋体"/>
        </w:rPr>
        <w:t>、车辆</w:t>
      </w:r>
      <w:r>
        <w:rPr>
          <w:rFonts w:ascii="宋体" w:hAnsi="宋体"/>
        </w:rPr>
        <w:t>实时状态监控、</w:t>
      </w:r>
      <w:r>
        <w:rPr>
          <w:rFonts w:hint="eastAsia" w:ascii="宋体" w:hAnsi="宋体"/>
        </w:rPr>
        <w:t>车辆</w:t>
      </w:r>
      <w:r>
        <w:rPr>
          <w:rFonts w:ascii="宋体" w:hAnsi="宋体"/>
        </w:rPr>
        <w:t>报警信息处理</w:t>
      </w:r>
      <w:r>
        <w:rPr>
          <w:rFonts w:hint="eastAsia" w:ascii="宋体" w:hAnsi="宋体"/>
        </w:rPr>
        <w:t>、驾驶人安全档案库及车辆安装信息管理等</w:t>
      </w:r>
      <w:r>
        <w:rPr>
          <w:rFonts w:ascii="宋体" w:hAnsi="宋体"/>
        </w:rPr>
        <w:t>功能。同时企业安全监控平台</w:t>
      </w:r>
      <w:r>
        <w:rPr>
          <w:rFonts w:hint="eastAsia" w:ascii="宋体" w:hAnsi="宋体"/>
        </w:rPr>
        <w:t>服从</w:t>
      </w:r>
      <w:r>
        <w:rPr>
          <w:rFonts w:ascii="宋体" w:hAnsi="宋体"/>
        </w:rPr>
        <w:t>政府安全监管平台的</w:t>
      </w:r>
      <w:r>
        <w:rPr>
          <w:rFonts w:hint="eastAsia" w:ascii="宋体" w:hAnsi="宋体"/>
        </w:rPr>
        <w:t>管理</w:t>
      </w:r>
      <w:r>
        <w:rPr>
          <w:rFonts w:ascii="宋体" w:hAnsi="宋体"/>
        </w:rPr>
        <w:t>。</w:t>
      </w:r>
    </w:p>
    <w:p>
      <w:pPr>
        <w:pStyle w:val="3"/>
        <w:numPr>
          <w:ilvl w:val="1"/>
          <w:numId w:val="1"/>
        </w:numPr>
        <w:spacing w:before="156" w:after="156"/>
        <w:ind w:left="567"/>
        <w:rPr>
          <w:rFonts w:ascii="黑体" w:hAnsi="黑体" w:eastAsia="黑体"/>
          <w:b w:val="0"/>
          <w:sz w:val="21"/>
          <w:szCs w:val="21"/>
        </w:rPr>
      </w:pPr>
    </w:p>
    <w:p>
      <w:pPr>
        <w:ind w:firstLine="420"/>
        <w:rPr>
          <w:rFonts w:ascii="黑体" w:hAnsi="黑体" w:eastAsia="黑体"/>
        </w:rPr>
      </w:pPr>
      <w:r>
        <w:rPr>
          <w:rFonts w:ascii="黑体" w:hAnsi="黑体" w:eastAsia="黑体"/>
        </w:rPr>
        <w:t>主动</w:t>
      </w:r>
      <w:r>
        <w:rPr>
          <w:rFonts w:hint="eastAsia" w:ascii="黑体" w:hAnsi="黑体" w:eastAsia="黑体"/>
        </w:rPr>
        <w:t>安全智能防控</w:t>
      </w:r>
      <w:r>
        <w:rPr>
          <w:rFonts w:ascii="黑体" w:hAnsi="黑体" w:eastAsia="黑体"/>
        </w:rPr>
        <w:t>平台</w:t>
      </w:r>
      <w:r>
        <w:rPr>
          <w:rFonts w:hint="eastAsia" w:ascii="黑体" w:hAnsi="黑体" w:eastAsia="黑体"/>
        </w:rPr>
        <w:t xml:space="preserve">  a</w:t>
      </w:r>
      <w:r>
        <w:rPr>
          <w:rFonts w:ascii="黑体" w:hAnsi="黑体" w:eastAsia="黑体"/>
        </w:rPr>
        <w:t>ctive safety Intelligent prevention platform</w:t>
      </w:r>
    </w:p>
    <w:p>
      <w:pPr>
        <w:ind w:firstLine="420"/>
      </w:pPr>
      <w:r>
        <w:t>主动安全智能防控平台包含政府安全监管平台和企业安全监控平台</w:t>
      </w:r>
      <w:r>
        <w:rPr>
          <w:rFonts w:hint="eastAsia"/>
        </w:rPr>
        <w:t>。</w:t>
      </w:r>
    </w:p>
    <w:p>
      <w:pPr>
        <w:pStyle w:val="3"/>
        <w:numPr>
          <w:ilvl w:val="1"/>
          <w:numId w:val="1"/>
        </w:numPr>
        <w:spacing w:before="156" w:after="156"/>
        <w:ind w:left="567"/>
        <w:rPr>
          <w:rFonts w:ascii="黑体" w:hAnsi="黑体" w:eastAsia="黑体"/>
          <w:b w:val="0"/>
          <w:sz w:val="21"/>
          <w:szCs w:val="21"/>
        </w:rPr>
      </w:pPr>
    </w:p>
    <w:p>
      <w:pPr>
        <w:ind w:firstLine="420"/>
        <w:rPr>
          <w:rFonts w:ascii="黑体" w:hAnsi="黑体" w:eastAsia="黑体"/>
          <w:bCs/>
          <w:szCs w:val="21"/>
        </w:rPr>
      </w:pPr>
      <w:r>
        <w:rPr>
          <w:rFonts w:hint="eastAsia" w:ascii="黑体" w:hAnsi="黑体" w:eastAsia="黑体"/>
          <w:bCs/>
          <w:szCs w:val="21"/>
        </w:rPr>
        <w:t>主动安全智能防控</w:t>
      </w:r>
      <w:r>
        <w:rPr>
          <w:rFonts w:ascii="黑体" w:hAnsi="黑体" w:eastAsia="黑体"/>
          <w:bCs/>
          <w:szCs w:val="21"/>
        </w:rPr>
        <w:t>终端</w:t>
      </w:r>
      <w:bookmarkEnd w:id="24"/>
      <w:r>
        <w:rPr>
          <w:rFonts w:hint="eastAsia" w:ascii="黑体" w:hAnsi="黑体" w:eastAsia="黑体"/>
          <w:bCs/>
          <w:szCs w:val="21"/>
        </w:rPr>
        <w:t xml:space="preserve">  a</w:t>
      </w:r>
      <w:r>
        <w:rPr>
          <w:rFonts w:ascii="黑体" w:hAnsi="黑体" w:eastAsia="黑体"/>
          <w:bCs/>
          <w:szCs w:val="21"/>
        </w:rPr>
        <w:t>ctive safety Intelligent prevention terminal</w:t>
      </w:r>
    </w:p>
    <w:p>
      <w:pPr>
        <w:ind w:firstLine="420"/>
      </w:pPr>
      <w:r>
        <w:rPr>
          <w:rFonts w:hint="eastAsia"/>
        </w:rPr>
        <w:t>主动安全智能防控</w:t>
      </w:r>
      <w:r>
        <w:t>终端是指安装在车辆上满足工作环境要求，具备行车记录仪</w:t>
      </w:r>
      <w:r>
        <w:rPr>
          <w:rFonts w:hint="eastAsia"/>
        </w:rPr>
        <w:t>、卫星定位、车载视频监控、高级驾驶辅助、驾驶人状态监测等功能，并支持与其他车载电子设备进行通信，提供主动安全智能防控平台所需信息</w:t>
      </w:r>
      <w:r>
        <w:t>的车载</w:t>
      </w:r>
      <w:r>
        <w:rPr>
          <w:rFonts w:hint="eastAsia"/>
        </w:rPr>
        <w:t>设备</w:t>
      </w:r>
      <w:r>
        <w:t>。</w:t>
      </w:r>
    </w:p>
    <w:p>
      <w:pPr>
        <w:pStyle w:val="3"/>
        <w:numPr>
          <w:ilvl w:val="1"/>
          <w:numId w:val="1"/>
        </w:numPr>
        <w:spacing w:before="156" w:after="156"/>
        <w:ind w:left="567"/>
        <w:rPr>
          <w:rFonts w:ascii="黑体" w:hAnsi="黑体" w:eastAsia="黑体"/>
          <w:b w:val="0"/>
          <w:sz w:val="21"/>
          <w:szCs w:val="21"/>
        </w:rPr>
      </w:pPr>
    </w:p>
    <w:p>
      <w:pPr>
        <w:ind w:firstLine="420"/>
        <w:rPr>
          <w:rFonts w:ascii="黑体" w:hAnsi="黑体" w:eastAsia="黑体"/>
        </w:rPr>
      </w:pPr>
      <w:r>
        <w:rPr>
          <w:rFonts w:hint="eastAsia" w:ascii="黑体" w:hAnsi="黑体" w:eastAsia="黑体"/>
        </w:rPr>
        <w:t>接入平台</w:t>
      </w:r>
      <w:r>
        <w:rPr>
          <w:rFonts w:ascii="黑体" w:hAnsi="黑体" w:eastAsia="黑体"/>
        </w:rPr>
        <w:t xml:space="preserve"> </w:t>
      </w:r>
      <w:r>
        <w:rPr>
          <w:rFonts w:hint="eastAsia" w:ascii="黑体" w:hAnsi="黑体" w:eastAsia="黑体"/>
        </w:rPr>
        <w:t xml:space="preserve"> </w:t>
      </w:r>
      <w:r>
        <w:rPr>
          <w:rFonts w:ascii="黑体" w:hAnsi="黑体" w:eastAsia="黑体"/>
        </w:rPr>
        <w:t>access platform</w:t>
      </w:r>
    </w:p>
    <w:p>
      <w:pPr>
        <w:ind w:firstLine="420"/>
      </w:pPr>
      <w:r>
        <w:rPr>
          <w:rFonts w:hint="eastAsia"/>
        </w:rPr>
        <w:t>包括</w:t>
      </w:r>
      <w:r>
        <w:t>企业安全监控</w:t>
      </w:r>
      <w:r>
        <w:rPr>
          <w:rFonts w:hint="eastAsia"/>
        </w:rPr>
        <w:t>平台</w:t>
      </w:r>
      <w:r>
        <w:t>和政府安全监管平台</w:t>
      </w:r>
      <w:r>
        <w:rPr>
          <w:rFonts w:hint="eastAsia"/>
        </w:rPr>
        <w:t>的接入</w:t>
      </w:r>
      <w:r>
        <w:t>。</w:t>
      </w:r>
    </w:p>
    <w:p>
      <w:pPr>
        <w:pStyle w:val="3"/>
        <w:numPr>
          <w:ilvl w:val="1"/>
          <w:numId w:val="1"/>
        </w:numPr>
        <w:spacing w:before="156" w:after="156"/>
        <w:ind w:left="567"/>
        <w:rPr>
          <w:rFonts w:ascii="黑体" w:hAnsi="黑体" w:eastAsia="黑体"/>
          <w:b w:val="0"/>
          <w:sz w:val="21"/>
          <w:szCs w:val="21"/>
        </w:rPr>
      </w:pPr>
    </w:p>
    <w:p>
      <w:pPr>
        <w:ind w:firstLine="420"/>
        <w:rPr>
          <w:rFonts w:ascii="黑体" w:hAnsi="黑体" w:eastAsia="黑体"/>
        </w:rPr>
      </w:pPr>
      <w:r>
        <w:rPr>
          <w:rFonts w:ascii="黑体" w:hAnsi="黑体" w:eastAsia="黑体"/>
        </w:rPr>
        <w:t>处理率</w:t>
      </w:r>
      <w:r>
        <w:rPr>
          <w:rFonts w:hint="eastAsia" w:ascii="黑体" w:hAnsi="黑体" w:eastAsia="黑体"/>
        </w:rPr>
        <w:t xml:space="preserve">  p</w:t>
      </w:r>
      <w:r>
        <w:rPr>
          <w:rFonts w:ascii="黑体" w:hAnsi="黑体" w:eastAsia="黑体"/>
        </w:rPr>
        <w:t xml:space="preserve">rocessing </w:t>
      </w:r>
      <w:r>
        <w:rPr>
          <w:rFonts w:hint="eastAsia" w:ascii="黑体" w:hAnsi="黑体" w:eastAsia="黑体"/>
        </w:rPr>
        <w:t>rate</w:t>
      </w:r>
    </w:p>
    <w:p>
      <w:pPr>
        <w:ind w:firstLine="420"/>
      </w:pPr>
      <w:r>
        <w:rPr>
          <w:rFonts w:hint="eastAsia"/>
        </w:rPr>
        <w:t>处理率是指按照规定正确处理主动安全智能防控</w:t>
      </w:r>
      <w:r>
        <w:t>终端上报的事件或报警的数量</w:t>
      </w:r>
      <w:r>
        <w:rPr>
          <w:rFonts w:hint="eastAsia"/>
        </w:rPr>
        <w:t>，</w:t>
      </w:r>
      <w:r>
        <w:t>占</w:t>
      </w:r>
      <w:r>
        <w:rPr>
          <w:rFonts w:hint="eastAsia"/>
        </w:rPr>
        <w:t>主动安全智能防控</w:t>
      </w:r>
      <w:r>
        <w:t>终端上报的事件或报警的总数量的百分比</w:t>
      </w:r>
      <w:r>
        <w:rPr>
          <w:rFonts w:hint="eastAsia"/>
        </w:rPr>
        <w:t>。</w:t>
      </w:r>
    </w:p>
    <w:p>
      <w:pPr>
        <w:pStyle w:val="2"/>
        <w:numPr>
          <w:ilvl w:val="0"/>
          <w:numId w:val="1"/>
        </w:numPr>
        <w:spacing w:beforeLines="50" w:afterLines="50"/>
        <w:ind w:left="0" w:firstLine="0"/>
        <w:rPr>
          <w:rFonts w:ascii="黑体" w:hAnsi="黑体" w:eastAsia="黑体"/>
          <w:b w:val="0"/>
          <w:sz w:val="21"/>
          <w:szCs w:val="21"/>
        </w:rPr>
      </w:pPr>
      <w:bookmarkStart w:id="25" w:name="_Toc23218"/>
      <w:bookmarkStart w:id="26" w:name="_Toc498008877"/>
      <w:r>
        <w:rPr>
          <w:rFonts w:hint="eastAsia" w:ascii="黑体" w:hAnsi="黑体" w:eastAsia="黑体"/>
          <w:b w:val="0"/>
          <w:sz w:val="21"/>
          <w:szCs w:val="21"/>
        </w:rPr>
        <w:t xml:space="preserve">  </w:t>
      </w:r>
      <w:bookmarkStart w:id="27" w:name="_Toc520501671"/>
      <w:r>
        <w:rPr>
          <w:rFonts w:ascii="黑体" w:hAnsi="黑体" w:eastAsia="黑体"/>
          <w:b w:val="0"/>
          <w:sz w:val="21"/>
          <w:szCs w:val="21"/>
        </w:rPr>
        <w:t>道路运输车辆主动</w:t>
      </w:r>
      <w:r>
        <w:rPr>
          <w:rFonts w:hint="eastAsia" w:ascii="黑体" w:hAnsi="黑体" w:eastAsia="黑体"/>
          <w:b w:val="0"/>
          <w:sz w:val="21"/>
          <w:szCs w:val="21"/>
        </w:rPr>
        <w:t>安全智能防控系统</w:t>
      </w:r>
      <w:r>
        <w:rPr>
          <w:rFonts w:ascii="黑体" w:hAnsi="黑体" w:eastAsia="黑体"/>
          <w:b w:val="0"/>
          <w:sz w:val="21"/>
          <w:szCs w:val="21"/>
        </w:rPr>
        <w:t>架构</w:t>
      </w:r>
      <w:bookmarkEnd w:id="25"/>
      <w:bookmarkEnd w:id="26"/>
      <w:bookmarkEnd w:id="27"/>
    </w:p>
    <w:p>
      <w:pPr>
        <w:ind w:firstLine="420"/>
      </w:pPr>
      <w:r>
        <w:rPr>
          <w:rFonts w:hint="eastAsia"/>
        </w:rPr>
        <w:t>道路运输车辆</w:t>
      </w:r>
      <w:r>
        <w:t>主动安全</w:t>
      </w:r>
      <w:r>
        <w:rPr>
          <w:rFonts w:hint="eastAsia"/>
        </w:rPr>
        <w:t>智能</w:t>
      </w:r>
      <w:r>
        <w:t>防控</w:t>
      </w:r>
      <w:r>
        <w:rPr>
          <w:rFonts w:hint="eastAsia"/>
        </w:rPr>
        <w:t>系统包含</w:t>
      </w:r>
      <w:r>
        <w:t>卫星定位子系统</w:t>
      </w:r>
      <w:r>
        <w:rPr>
          <w:rFonts w:hint="eastAsia"/>
        </w:rPr>
        <w:t>、视频</w:t>
      </w:r>
      <w:r>
        <w:t>子系统、主动安全报警子系统</w:t>
      </w:r>
      <w:r>
        <w:rPr>
          <w:rFonts w:hint="eastAsia"/>
        </w:rPr>
        <w:t>，其中卫星定位子系统和视频子系统应符</w:t>
      </w:r>
      <w:r>
        <w:rPr>
          <w:rFonts w:hint="eastAsia" w:ascii="宋体" w:hAnsi="宋体" w:cs="宋体"/>
        </w:rPr>
        <w:t>合JT/T 794、JT/T 796、JT/T 1076、JT/T 1077及JT/T 1078等</w:t>
      </w:r>
      <w:r>
        <w:t>标准中的要求</w:t>
      </w:r>
      <w:r>
        <w:rPr>
          <w:rFonts w:hint="eastAsia"/>
        </w:rPr>
        <w:t>。</w:t>
      </w:r>
    </w:p>
    <w:p>
      <w:pPr>
        <w:ind w:firstLine="420"/>
      </w:pPr>
      <w:r>
        <w:t>主动安全报警子系统包含政府安全</w:t>
      </w:r>
      <w:r>
        <w:rPr>
          <w:rFonts w:hint="eastAsia"/>
        </w:rPr>
        <w:t>监管平台</w:t>
      </w:r>
      <w:r>
        <w:t>、企业安全监控平台、主动安全智能防控终端</w:t>
      </w:r>
      <w:r>
        <w:rPr>
          <w:rFonts w:hint="eastAsia"/>
        </w:rPr>
        <w:t>以及主动</w:t>
      </w:r>
      <w:r>
        <w:t>安全智能</w:t>
      </w:r>
      <w:r>
        <w:rPr>
          <w:rFonts w:hint="eastAsia"/>
        </w:rPr>
        <w:t>防控</w:t>
      </w:r>
      <w:r>
        <w:t>平台与主动安全智能防控终端</w:t>
      </w:r>
      <w:r>
        <w:rPr>
          <w:rFonts w:hint="eastAsia"/>
        </w:rPr>
        <w:t>间</w:t>
      </w:r>
      <w:r>
        <w:t>的通讯网络。</w:t>
      </w:r>
      <w:r>
        <w:rPr>
          <w:rFonts w:hint="eastAsia"/>
        </w:rPr>
        <w:t>通过各</w:t>
      </w:r>
      <w:r>
        <w:t>组成之间的互联互通，实现卫星定位、视频监控</w:t>
      </w:r>
      <w:r>
        <w:rPr>
          <w:rFonts w:hint="eastAsia"/>
        </w:rPr>
        <w:t>、</w:t>
      </w:r>
      <w:r>
        <w:t>主动安全智能防控管理</w:t>
      </w:r>
      <w:r>
        <w:rPr>
          <w:rFonts w:hint="eastAsia"/>
        </w:rPr>
        <w:t>以及</w:t>
      </w:r>
      <w:r>
        <w:t>数据存储、分析、</w:t>
      </w:r>
      <w:r>
        <w:rPr>
          <w:rFonts w:hint="eastAsia"/>
        </w:rPr>
        <w:t>交换</w:t>
      </w:r>
      <w:r>
        <w:t>和共享。</w:t>
      </w:r>
    </w:p>
    <w:p>
      <w:pPr>
        <w:ind w:firstLine="420"/>
      </w:pPr>
      <w:r>
        <w:t>主动安全智能防控平台与用于</w:t>
      </w:r>
      <w:r>
        <w:rPr>
          <w:rFonts w:hint="eastAsia"/>
        </w:rPr>
        <w:t>位置</w:t>
      </w:r>
      <w:r>
        <w:t>监控和视频监控的平台在实际应用中可以是同一软件系统的不同功能模块</w:t>
      </w:r>
      <w:r>
        <w:rPr>
          <w:rFonts w:hint="eastAsia"/>
        </w:rPr>
        <w:t>。政府安全监管平台</w:t>
      </w:r>
      <w:r>
        <w:t>与企业安全监控平台之间通过互联网或者专线网络</w:t>
      </w:r>
      <w:r>
        <w:rPr>
          <w:rFonts w:hint="eastAsia"/>
        </w:rPr>
        <w:t>形式</w:t>
      </w:r>
      <w:r>
        <w:t>进行连接，企业安全监控平台与</w:t>
      </w:r>
      <w:r>
        <w:rPr>
          <w:rFonts w:hint="eastAsia"/>
        </w:rPr>
        <w:t>主动安全智能防控</w:t>
      </w:r>
      <w:r>
        <w:t>终端之间通过无线通信网络连接，</w:t>
      </w:r>
      <w:r>
        <w:rPr>
          <w:rFonts w:hint="eastAsia"/>
        </w:rPr>
        <w:t>实现</w:t>
      </w:r>
      <w:r>
        <w:t>对主动</w:t>
      </w:r>
      <w:r>
        <w:rPr>
          <w:rFonts w:hint="eastAsia"/>
        </w:rPr>
        <w:t>安全智能防控终端所</w:t>
      </w:r>
      <w:r>
        <w:t>采集的报警数据进行查询</w:t>
      </w:r>
      <w:r>
        <w:rPr>
          <w:rFonts w:hint="eastAsia"/>
        </w:rPr>
        <w:t>、</w:t>
      </w:r>
      <w:r>
        <w:t>统计</w:t>
      </w:r>
      <w:r>
        <w:rPr>
          <w:rFonts w:hint="eastAsia"/>
        </w:rPr>
        <w:t>、</w:t>
      </w:r>
      <w:r>
        <w:t>分析</w:t>
      </w:r>
      <w:r>
        <w:rPr>
          <w:rFonts w:hint="eastAsia"/>
        </w:rPr>
        <w:t>以及管理</w:t>
      </w:r>
      <w:r>
        <w:t>等功能</w:t>
      </w:r>
      <w:r>
        <w:rPr>
          <w:rFonts w:hint="eastAsia"/>
        </w:rPr>
        <w:t>。政府安全监管</w:t>
      </w:r>
      <w:r>
        <w:t>平台与</w:t>
      </w:r>
      <w:r>
        <w:rPr>
          <w:rFonts w:hint="eastAsia"/>
        </w:rPr>
        <w:t>主动安全智能防控</w:t>
      </w:r>
      <w:r>
        <w:t>终端之间通过无线通信网络连接</w:t>
      </w:r>
      <w:r>
        <w:rPr>
          <w:rFonts w:hint="eastAsia"/>
        </w:rPr>
        <w:t>，</w:t>
      </w:r>
      <w:r>
        <w:t>采集主动</w:t>
      </w:r>
      <w:r>
        <w:rPr>
          <w:rFonts w:hint="eastAsia"/>
        </w:rPr>
        <w:t>安全智能防控终端</w:t>
      </w:r>
      <w:r>
        <w:t>报警数据</w:t>
      </w:r>
      <w:r>
        <w:rPr>
          <w:rFonts w:hint="eastAsia"/>
        </w:rPr>
        <w:t>，终端除收到上传指令外，不必主动向政府安全监管</w:t>
      </w:r>
      <w:r>
        <w:t>平台</w:t>
      </w:r>
      <w:r>
        <w:rPr>
          <w:rFonts w:hint="eastAsia"/>
        </w:rPr>
        <w:t>上报附件消息和多媒体数据。</w:t>
      </w:r>
    </w:p>
    <w:p>
      <w:pPr>
        <w:ind w:firstLine="420"/>
      </w:pPr>
      <w:r>
        <w:t>道路运输车辆主动安全</w:t>
      </w:r>
      <w:r>
        <w:rPr>
          <w:rFonts w:hint="eastAsia"/>
        </w:rPr>
        <w:t>智能防控</w:t>
      </w:r>
      <w:r>
        <w:t>系统主动安全报警子系统</w:t>
      </w:r>
      <w:r>
        <w:rPr>
          <w:rFonts w:hint="eastAsia" w:ascii="宋体" w:hAnsi="宋体" w:cs="宋体"/>
        </w:rPr>
        <w:t>架构如图1所</w:t>
      </w:r>
      <w:r>
        <w:rPr>
          <w:rFonts w:hint="eastAsia"/>
        </w:rPr>
        <w:t>示</w:t>
      </w:r>
      <w:r>
        <w:t>。</w:t>
      </w:r>
    </w:p>
    <w:p>
      <w:pPr>
        <w:ind w:firstLine="0" w:firstLineChars="0"/>
      </w:pPr>
      <w:r>
        <w:drawing>
          <wp:inline distT="0" distB="0" distL="0" distR="0">
            <wp:extent cx="5553075" cy="32670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cstate="print"/>
                    <a:stretch>
                      <a:fillRect/>
                    </a:stretch>
                  </pic:blipFill>
                  <pic:spPr>
                    <a:xfrm>
                      <a:off x="0" y="0"/>
                      <a:ext cx="5553075" cy="3267075"/>
                    </a:xfrm>
                    <a:prstGeom prst="rect">
                      <a:avLst/>
                    </a:prstGeom>
                  </pic:spPr>
                </pic:pic>
              </a:graphicData>
            </a:graphic>
          </wp:inline>
        </w:drawing>
      </w:r>
    </w:p>
    <w:p>
      <w:pPr>
        <w:pStyle w:val="13"/>
        <w:ind w:firstLine="420"/>
        <w:jc w:val="center"/>
        <w:rPr>
          <w:rFonts w:ascii="Calibri" w:hAnsi="Calibri"/>
          <w:sz w:val="21"/>
        </w:rPr>
      </w:pPr>
      <w:r>
        <w:rPr>
          <w:rFonts w:hint="eastAsia" w:ascii="黑体" w:hAnsi="黑体"/>
          <w:sz w:val="21"/>
        </w:rPr>
        <w:t xml:space="preserve">图 </w:t>
      </w:r>
      <w:r>
        <w:rPr>
          <w:rFonts w:ascii="黑体" w:hAnsi="黑体"/>
          <w:sz w:val="21"/>
        </w:rPr>
        <w:t>1</w:t>
      </w:r>
      <w:r>
        <w:t>道路运输车辆主动安全</w:t>
      </w:r>
      <w:r>
        <w:rPr>
          <w:rFonts w:hint="eastAsia"/>
        </w:rPr>
        <w:t>智能防控</w:t>
      </w:r>
      <w:r>
        <w:t>系统主动安全报警子系统架构</w:t>
      </w:r>
    </w:p>
    <w:p>
      <w:pPr>
        <w:pStyle w:val="2"/>
        <w:numPr>
          <w:ilvl w:val="0"/>
          <w:numId w:val="1"/>
        </w:numPr>
        <w:spacing w:beforeLines="50" w:afterLines="50"/>
        <w:ind w:left="0" w:firstLine="0"/>
        <w:rPr>
          <w:rFonts w:ascii="黑体" w:hAnsi="黑体" w:eastAsia="黑体"/>
          <w:b w:val="0"/>
          <w:sz w:val="21"/>
          <w:szCs w:val="21"/>
        </w:rPr>
      </w:pPr>
      <w:bookmarkStart w:id="28" w:name="_Toc32541"/>
      <w:bookmarkStart w:id="29" w:name="_Toc498008878"/>
      <w:r>
        <w:rPr>
          <w:rFonts w:hint="eastAsia" w:ascii="黑体" w:hAnsi="黑体" w:eastAsia="黑体"/>
          <w:b w:val="0"/>
          <w:sz w:val="21"/>
          <w:szCs w:val="21"/>
        </w:rPr>
        <w:t xml:space="preserve">  </w:t>
      </w:r>
      <w:bookmarkStart w:id="30" w:name="_Toc520501672"/>
      <w:r>
        <w:rPr>
          <w:rFonts w:ascii="黑体" w:hAnsi="黑体" w:eastAsia="黑体"/>
          <w:b w:val="0"/>
          <w:sz w:val="21"/>
          <w:szCs w:val="21"/>
        </w:rPr>
        <w:t>政府安全监管平台</w:t>
      </w:r>
      <w:bookmarkEnd w:id="28"/>
      <w:bookmarkEnd w:id="29"/>
      <w:bookmarkEnd w:id="30"/>
    </w:p>
    <w:p>
      <w:pPr>
        <w:pStyle w:val="3"/>
        <w:numPr>
          <w:ilvl w:val="1"/>
          <w:numId w:val="1"/>
        </w:numPr>
        <w:spacing w:before="156" w:after="156"/>
        <w:ind w:left="567"/>
        <w:rPr>
          <w:rFonts w:ascii="黑体" w:hAnsi="黑体" w:eastAsia="黑体"/>
          <w:b w:val="0"/>
          <w:sz w:val="21"/>
          <w:szCs w:val="21"/>
        </w:rPr>
      </w:pPr>
      <w:r>
        <w:rPr>
          <w:rFonts w:hint="eastAsia" w:ascii="黑体" w:hAnsi="黑体" w:eastAsia="黑体"/>
          <w:b w:val="0"/>
          <w:sz w:val="21"/>
          <w:szCs w:val="21"/>
        </w:rPr>
        <w:t xml:space="preserve">  基础功能</w:t>
      </w:r>
    </w:p>
    <w:p>
      <w:pPr>
        <w:ind w:firstLine="420"/>
      </w:pPr>
      <w:r>
        <w:rPr>
          <w:rFonts w:hint="eastAsia"/>
        </w:rPr>
        <w:t>政府安全</w:t>
      </w:r>
      <w:r>
        <w:t>监管平台</w:t>
      </w:r>
      <w:r>
        <w:rPr>
          <w:rFonts w:hint="eastAsia"/>
        </w:rPr>
        <w:t>基本功能</w:t>
      </w:r>
      <w:r>
        <w:t>应</w:t>
      </w:r>
      <w:r>
        <w:rPr>
          <w:rFonts w:hint="eastAsia" w:ascii="宋体" w:hAnsi="宋体" w:cs="宋体"/>
        </w:rPr>
        <w:t>满足JT/T 796中第5章描述的所</w:t>
      </w:r>
      <w:r>
        <w:rPr>
          <w:rFonts w:hint="eastAsia"/>
        </w:rPr>
        <w:t>有</w:t>
      </w:r>
      <w:r>
        <w:t>功能</w:t>
      </w:r>
      <w:r>
        <w:rPr>
          <w:rFonts w:hint="eastAsia"/>
        </w:rPr>
        <w:t>。</w:t>
      </w:r>
    </w:p>
    <w:p>
      <w:pPr>
        <w:pStyle w:val="3"/>
        <w:numPr>
          <w:ilvl w:val="1"/>
          <w:numId w:val="1"/>
        </w:numPr>
        <w:spacing w:before="156" w:after="156"/>
        <w:ind w:left="567"/>
        <w:rPr>
          <w:rFonts w:ascii="黑体" w:hAnsi="黑体" w:eastAsia="黑体"/>
          <w:b w:val="0"/>
          <w:sz w:val="21"/>
          <w:szCs w:val="21"/>
        </w:rPr>
      </w:pPr>
      <w:r>
        <w:rPr>
          <w:rFonts w:hint="eastAsia" w:ascii="黑体" w:hAnsi="黑体" w:eastAsia="黑体"/>
          <w:b w:val="0"/>
          <w:sz w:val="21"/>
          <w:szCs w:val="21"/>
        </w:rPr>
        <w:t xml:space="preserve">  </w:t>
      </w:r>
      <w:r>
        <w:rPr>
          <w:rFonts w:ascii="黑体" w:hAnsi="黑体" w:eastAsia="黑体"/>
          <w:b w:val="0"/>
          <w:sz w:val="21"/>
          <w:szCs w:val="21"/>
        </w:rPr>
        <w:t>扩展功能</w:t>
      </w:r>
    </w:p>
    <w:p>
      <w:pPr>
        <w:pStyle w:val="4"/>
        <w:numPr>
          <w:ilvl w:val="2"/>
          <w:numId w:val="1"/>
        </w:numPr>
        <w:spacing w:before="156" w:after="156"/>
        <w:ind w:left="851" w:hanging="851"/>
        <w:rPr>
          <w:rFonts w:ascii="黑体" w:hAnsi="黑体"/>
        </w:rPr>
      </w:pPr>
      <w:r>
        <w:rPr>
          <w:rFonts w:hint="eastAsia" w:ascii="黑体" w:hAnsi="黑体"/>
        </w:rPr>
        <w:t xml:space="preserve">  </w:t>
      </w:r>
      <w:r>
        <w:rPr>
          <w:rFonts w:ascii="黑体" w:hAnsi="黑体"/>
        </w:rPr>
        <w:t>用户管理</w:t>
      </w:r>
    </w:p>
    <w:p>
      <w:pPr>
        <w:ind w:firstLine="420"/>
      </w:pPr>
      <w:bookmarkStart w:id="31" w:name="_Toc496263444"/>
      <w:r>
        <w:rPr>
          <w:rFonts w:hint="eastAsia"/>
        </w:rPr>
        <w:t>用户管理</w:t>
      </w:r>
      <w:r>
        <w:t>应</w:t>
      </w:r>
      <w:r>
        <w:rPr>
          <w:rFonts w:hint="eastAsia" w:ascii="宋体" w:hAnsi="宋体" w:cs="宋体"/>
        </w:rPr>
        <w:t>满足JT/T 1077中第5章5.2用户管</w:t>
      </w:r>
      <w:r>
        <w:rPr>
          <w:rFonts w:hint="eastAsia"/>
        </w:rPr>
        <w:t>理</w:t>
      </w:r>
      <w:r>
        <w:t>中描述的功能</w:t>
      </w:r>
      <w:r>
        <w:rPr>
          <w:rFonts w:hint="eastAsia"/>
        </w:rPr>
        <w:t>。</w:t>
      </w:r>
    </w:p>
    <w:p>
      <w:pPr>
        <w:pStyle w:val="4"/>
        <w:numPr>
          <w:ilvl w:val="2"/>
          <w:numId w:val="1"/>
        </w:numPr>
        <w:spacing w:before="156" w:after="156"/>
        <w:ind w:left="851" w:hanging="851"/>
        <w:rPr>
          <w:rFonts w:ascii="黑体" w:hAnsi="黑体"/>
        </w:rPr>
      </w:pPr>
      <w:r>
        <w:rPr>
          <w:rFonts w:hint="eastAsia" w:ascii="黑体" w:hAnsi="黑体"/>
        </w:rPr>
        <w:t xml:space="preserve">  报警</w:t>
      </w:r>
      <w:bookmarkEnd w:id="31"/>
      <w:r>
        <w:rPr>
          <w:rFonts w:hint="eastAsia" w:ascii="黑体" w:hAnsi="黑体"/>
        </w:rPr>
        <w:t>类型</w:t>
      </w:r>
    </w:p>
    <w:p>
      <w:pPr>
        <w:ind w:firstLine="420"/>
        <w:rPr>
          <w:rFonts w:ascii="Calibri Light" w:hAnsi="Calibri Light"/>
          <w:bCs/>
          <w:vanish/>
          <w:szCs w:val="28"/>
        </w:rPr>
      </w:pPr>
      <w:r>
        <w:rPr>
          <w:rFonts w:hint="eastAsia"/>
        </w:rPr>
        <w:t>政府安全监管平台可接收接入平台上报的报警主要</w:t>
      </w:r>
      <w:r>
        <w:t>包含车辆前向碰撞报警、车道偏离报警</w:t>
      </w:r>
      <w:r>
        <w:rPr>
          <w:rFonts w:hint="eastAsia"/>
        </w:rPr>
        <w:t>、</w:t>
      </w:r>
      <w:r>
        <w:t>车距过近报警、疲劳驾驶</w:t>
      </w:r>
      <w:r>
        <w:rPr>
          <w:rFonts w:hint="eastAsia"/>
        </w:rPr>
        <w:t>报警</w:t>
      </w:r>
      <w:r>
        <w:t>、</w:t>
      </w:r>
      <w:r>
        <w:rPr>
          <w:rFonts w:hint="eastAsia"/>
        </w:rPr>
        <w:t>分神驾驶报警</w:t>
      </w:r>
      <w:r>
        <w:t>、</w:t>
      </w:r>
      <w:r>
        <w:rPr>
          <w:rFonts w:hint="eastAsia"/>
        </w:rPr>
        <w:t>接打电话报警</w:t>
      </w:r>
      <w:r>
        <w:t>、抽烟报警、</w:t>
      </w:r>
      <w:r>
        <w:rPr>
          <w:rFonts w:hint="eastAsia"/>
        </w:rPr>
        <w:t>驾驶人异常报警等。</w:t>
      </w:r>
    </w:p>
    <w:p>
      <w:pPr>
        <w:pStyle w:val="4"/>
        <w:numPr>
          <w:ilvl w:val="2"/>
          <w:numId w:val="1"/>
        </w:numPr>
        <w:spacing w:before="156" w:after="156"/>
        <w:ind w:left="851" w:hanging="851"/>
        <w:rPr>
          <w:rFonts w:ascii="黑体" w:hAnsi="黑体"/>
        </w:rPr>
      </w:pPr>
      <w:r>
        <w:rPr>
          <w:rFonts w:hint="eastAsia" w:ascii="黑体" w:hAnsi="黑体"/>
        </w:rPr>
        <w:t xml:space="preserve">  </w:t>
      </w:r>
      <w:r>
        <w:rPr>
          <w:rFonts w:ascii="黑体" w:hAnsi="黑体"/>
        </w:rPr>
        <w:t>报警管理</w:t>
      </w:r>
    </w:p>
    <w:p>
      <w:pPr>
        <w:ind w:firstLine="420"/>
      </w:pPr>
      <w:r>
        <w:rPr>
          <w:rFonts w:hint="eastAsia"/>
        </w:rPr>
        <w:t>政府安全监管平台应具备接收接入</w:t>
      </w:r>
      <w:r>
        <w:t>平台</w:t>
      </w:r>
      <w:r>
        <w:rPr>
          <w:rFonts w:hint="eastAsia"/>
        </w:rPr>
        <w:t>上报的车辆报警信息及对应的报警处理信息的功能。如企业安全监控平台未在规定时间内上报报警处理信息，政府安全监管平台应自动向其发送报警处置请求指令，可通过</w:t>
      </w:r>
      <w:r>
        <w:t>远程访问的形式查看</w:t>
      </w:r>
      <w:r>
        <w:rPr>
          <w:rFonts w:hint="eastAsia"/>
        </w:rPr>
        <w:t>原始</w:t>
      </w:r>
      <w:r>
        <w:t>报警数据</w:t>
      </w:r>
      <w:r>
        <w:rPr>
          <w:rFonts w:hint="eastAsia"/>
        </w:rPr>
        <w:t>。</w:t>
      </w:r>
    </w:p>
    <w:p>
      <w:pPr>
        <w:ind w:firstLine="420"/>
        <w:rPr>
          <w:highlight w:val="yellow"/>
        </w:rPr>
      </w:pPr>
      <w:r>
        <w:t>支持报警信息标记功能</w:t>
      </w:r>
      <w:r>
        <w:rPr>
          <w:rFonts w:hint="eastAsia"/>
        </w:rPr>
        <w:t>，</w:t>
      </w:r>
      <w:r>
        <w:t>对于标记的报警数据可支持离线保存</w:t>
      </w:r>
      <w:r>
        <w:rPr>
          <w:rFonts w:hint="eastAsia"/>
        </w:rPr>
        <w:t>。</w:t>
      </w:r>
    </w:p>
    <w:p>
      <w:pPr>
        <w:pStyle w:val="4"/>
        <w:numPr>
          <w:ilvl w:val="2"/>
          <w:numId w:val="1"/>
        </w:numPr>
        <w:spacing w:before="156" w:after="156"/>
        <w:ind w:left="851" w:hanging="851"/>
        <w:rPr>
          <w:rFonts w:ascii="黑体" w:hAnsi="黑体"/>
        </w:rPr>
      </w:pPr>
      <w:r>
        <w:rPr>
          <w:rFonts w:hint="eastAsia" w:ascii="黑体" w:hAnsi="黑体"/>
        </w:rPr>
        <w:t xml:space="preserve">  报警信息分析</w:t>
      </w:r>
    </w:p>
    <w:p>
      <w:pPr>
        <w:pStyle w:val="5"/>
        <w:numPr>
          <w:ilvl w:val="3"/>
          <w:numId w:val="1"/>
        </w:numPr>
        <w:spacing w:before="156" w:after="156"/>
        <w:ind w:left="993" w:hanging="993"/>
      </w:pPr>
      <w:r>
        <w:rPr>
          <w:rFonts w:hint="eastAsia"/>
        </w:rPr>
        <w:t xml:space="preserve">  报警</w:t>
      </w:r>
      <w:r>
        <w:t>展示</w:t>
      </w:r>
    </w:p>
    <w:p>
      <w:pPr>
        <w:ind w:firstLine="420"/>
        <w:rPr>
          <w:rFonts w:ascii="宋体" w:hAnsi="宋体" w:cs="宋体"/>
        </w:rPr>
      </w:pPr>
      <w:r>
        <w:rPr>
          <w:rFonts w:hint="eastAsia" w:ascii="宋体" w:hAnsi="宋体" w:cs="宋体"/>
        </w:rPr>
        <w:t>报警展示功能可具备根据不同分类对接入平台上报的报警信息进行处理功能，主要有以下几点要求：</w:t>
      </w:r>
    </w:p>
    <w:p>
      <w:pPr>
        <w:pStyle w:val="44"/>
        <w:numPr>
          <w:ilvl w:val="0"/>
          <w:numId w:val="2"/>
        </w:numPr>
        <w:ind w:firstLineChars="0"/>
        <w:rPr>
          <w:rFonts w:ascii="宋体" w:hAnsi="宋体" w:cs="宋体"/>
        </w:rPr>
      </w:pPr>
      <w:r>
        <w:rPr>
          <w:rFonts w:hint="eastAsia" w:ascii="宋体" w:hAnsi="宋体" w:cs="宋体"/>
        </w:rPr>
        <w:t xml:space="preserve">  支持按照报警类型对报警信息进行分类汇总、展示分析。</w:t>
      </w:r>
    </w:p>
    <w:p>
      <w:pPr>
        <w:pStyle w:val="44"/>
        <w:numPr>
          <w:ilvl w:val="0"/>
          <w:numId w:val="2"/>
        </w:numPr>
        <w:ind w:firstLineChars="0"/>
        <w:rPr>
          <w:rFonts w:ascii="宋体" w:hAnsi="宋体" w:cs="宋体"/>
        </w:rPr>
      </w:pPr>
      <w:r>
        <w:rPr>
          <w:rFonts w:hint="eastAsia" w:ascii="宋体" w:hAnsi="宋体" w:cs="宋体"/>
        </w:rPr>
        <w:t xml:space="preserve">  支持按照地区、时段、行业对报警信息进行分类汇总、展示分析。</w:t>
      </w:r>
    </w:p>
    <w:p>
      <w:pPr>
        <w:pStyle w:val="44"/>
        <w:numPr>
          <w:ilvl w:val="0"/>
          <w:numId w:val="2"/>
        </w:numPr>
        <w:ind w:firstLineChars="0"/>
        <w:rPr>
          <w:rFonts w:ascii="宋体" w:hAnsi="宋体" w:cs="宋体"/>
        </w:rPr>
      </w:pPr>
      <w:r>
        <w:rPr>
          <w:rFonts w:hint="eastAsia" w:ascii="宋体" w:hAnsi="宋体" w:cs="宋体"/>
        </w:rPr>
        <w:t xml:space="preserve">  支持按照车辆类型对报警信息进行分类汇总、展示分析。</w:t>
      </w:r>
    </w:p>
    <w:p>
      <w:pPr>
        <w:pStyle w:val="44"/>
        <w:numPr>
          <w:ilvl w:val="0"/>
          <w:numId w:val="2"/>
        </w:numPr>
        <w:ind w:firstLineChars="0"/>
        <w:rPr>
          <w:rFonts w:ascii="宋体" w:hAnsi="宋体" w:cs="宋体"/>
        </w:rPr>
      </w:pPr>
      <w:r>
        <w:rPr>
          <w:rFonts w:hint="eastAsia" w:ascii="宋体" w:hAnsi="宋体" w:cs="宋体"/>
        </w:rPr>
        <w:t xml:space="preserve">  支持按照驾驶人对报警信息进行分类汇总、展示分析。</w:t>
      </w:r>
    </w:p>
    <w:p>
      <w:pPr>
        <w:pStyle w:val="44"/>
        <w:numPr>
          <w:ilvl w:val="0"/>
          <w:numId w:val="2"/>
        </w:numPr>
        <w:ind w:firstLineChars="0"/>
        <w:rPr>
          <w:rFonts w:ascii="宋体" w:hAnsi="宋体" w:cs="宋体"/>
        </w:rPr>
      </w:pPr>
      <w:r>
        <w:rPr>
          <w:rFonts w:hint="eastAsia" w:ascii="宋体" w:hAnsi="宋体" w:cs="宋体"/>
        </w:rPr>
        <w:t xml:space="preserve">  支持按照企业对报警信息进行分类汇总、展示分析。</w:t>
      </w:r>
    </w:p>
    <w:p>
      <w:pPr>
        <w:pStyle w:val="44"/>
        <w:numPr>
          <w:ilvl w:val="0"/>
          <w:numId w:val="2"/>
        </w:numPr>
        <w:ind w:firstLineChars="0"/>
        <w:rPr>
          <w:rFonts w:ascii="宋体" w:hAnsi="宋体" w:cs="宋体"/>
        </w:rPr>
      </w:pPr>
      <w:r>
        <w:rPr>
          <w:rFonts w:hint="eastAsia" w:ascii="宋体" w:hAnsi="宋体" w:cs="宋体"/>
        </w:rPr>
        <w:t xml:space="preserve">  支持将所有汇总结果、分析结果以直观统计图表展现。</w:t>
      </w:r>
    </w:p>
    <w:p>
      <w:pPr>
        <w:pStyle w:val="5"/>
        <w:numPr>
          <w:ilvl w:val="3"/>
          <w:numId w:val="1"/>
        </w:numPr>
        <w:spacing w:before="156" w:after="156"/>
        <w:ind w:left="993" w:hanging="993"/>
        <w:rPr>
          <w:rFonts w:ascii="黑体" w:hAnsi="黑体"/>
        </w:rPr>
      </w:pPr>
      <w:r>
        <w:rPr>
          <w:rFonts w:hint="eastAsia" w:ascii="黑体" w:hAnsi="黑体"/>
        </w:rPr>
        <w:t xml:space="preserve">  驾驶人评分</w:t>
      </w:r>
    </w:p>
    <w:p>
      <w:pPr>
        <w:ind w:firstLine="420"/>
      </w:pPr>
      <w:r>
        <w:t>政府安全监管</w:t>
      </w:r>
      <w:r>
        <w:rPr>
          <w:rFonts w:hint="eastAsia"/>
        </w:rPr>
        <w:t>平台</w:t>
      </w:r>
      <w:r>
        <w:t>可具备</w:t>
      </w:r>
      <w:r>
        <w:rPr>
          <w:rFonts w:hint="eastAsia"/>
        </w:rPr>
        <w:t>通过</w:t>
      </w:r>
      <w:r>
        <w:t>报警数据分析</w:t>
      </w:r>
      <w:r>
        <w:rPr>
          <w:rFonts w:hint="eastAsia"/>
        </w:rPr>
        <w:t>对驾驶人</w:t>
      </w:r>
      <w:r>
        <w:t>的驾驶行为进行评分的功能，能够按照不同</w:t>
      </w:r>
      <w:r>
        <w:rPr>
          <w:rFonts w:hint="eastAsia"/>
        </w:rPr>
        <w:t>报警</w:t>
      </w:r>
      <w:r>
        <w:t>类型</w:t>
      </w:r>
      <w:r>
        <w:rPr>
          <w:rFonts w:hint="eastAsia"/>
        </w:rPr>
        <w:t>、</w:t>
      </w:r>
      <w:r>
        <w:t>报警数量、</w:t>
      </w:r>
      <w:r>
        <w:rPr>
          <w:rFonts w:hint="eastAsia"/>
        </w:rPr>
        <w:t>报警</w:t>
      </w:r>
      <w:r>
        <w:t>等级等相关信息，按照管理规定</w:t>
      </w:r>
      <w:r>
        <w:rPr>
          <w:rFonts w:hint="eastAsia"/>
        </w:rPr>
        <w:t>生成驾驶人</w:t>
      </w:r>
      <w:r>
        <w:t>驾驶行为评分，并</w:t>
      </w:r>
      <w:r>
        <w:rPr>
          <w:rFonts w:hint="eastAsia"/>
        </w:rPr>
        <w:t>按照评分</w:t>
      </w:r>
      <w:r>
        <w:t>结果进行</w:t>
      </w:r>
      <w:r>
        <w:rPr>
          <w:rFonts w:hint="eastAsia"/>
        </w:rPr>
        <w:t>驾驶人</w:t>
      </w:r>
      <w:r>
        <w:t>评分排名，</w:t>
      </w:r>
      <w:r>
        <w:rPr>
          <w:rFonts w:hint="eastAsia"/>
        </w:rPr>
        <w:t>也</w:t>
      </w:r>
      <w:r>
        <w:t>可</w:t>
      </w:r>
      <w:r>
        <w:rPr>
          <w:rFonts w:hint="eastAsia"/>
        </w:rPr>
        <w:t>具备</w:t>
      </w:r>
      <w:r>
        <w:t>用户按照</w:t>
      </w:r>
      <w:r>
        <w:rPr>
          <w:rFonts w:hint="eastAsia"/>
        </w:rPr>
        <w:t>排名或驾驶人信息</w:t>
      </w:r>
      <w:r>
        <w:t>字段进行查询的功能。</w:t>
      </w:r>
      <w:r>
        <w:rPr>
          <w:rFonts w:hint="eastAsia"/>
        </w:rPr>
        <w:t>评分</w:t>
      </w:r>
      <w:r>
        <w:t>结果</w:t>
      </w:r>
      <w:r>
        <w:rPr>
          <w:rFonts w:hint="eastAsia"/>
        </w:rPr>
        <w:t>计入驾驶人</w:t>
      </w:r>
      <w:r>
        <w:t>档案库。</w:t>
      </w:r>
    </w:p>
    <w:p>
      <w:pPr>
        <w:ind w:firstLine="420"/>
      </w:pPr>
      <w:r>
        <w:t>评分规则应根据管理部门相关管理办法进行</w:t>
      </w:r>
      <w:r>
        <w:rPr>
          <w:rFonts w:hint="eastAsia"/>
        </w:rPr>
        <w:t>。</w:t>
      </w:r>
    </w:p>
    <w:p>
      <w:pPr>
        <w:pStyle w:val="4"/>
        <w:numPr>
          <w:ilvl w:val="2"/>
          <w:numId w:val="1"/>
        </w:numPr>
        <w:spacing w:before="156" w:after="156"/>
        <w:ind w:left="851" w:hanging="851"/>
        <w:rPr>
          <w:rFonts w:ascii="黑体" w:hAnsi="黑体"/>
        </w:rPr>
      </w:pPr>
      <w:r>
        <w:rPr>
          <w:rFonts w:hint="eastAsia" w:ascii="黑体" w:hAnsi="黑体"/>
        </w:rPr>
        <w:t xml:space="preserve">  </w:t>
      </w:r>
      <w:r>
        <w:rPr>
          <w:rFonts w:ascii="黑体" w:hAnsi="黑体"/>
        </w:rPr>
        <w:t>企业运营分析</w:t>
      </w:r>
    </w:p>
    <w:p>
      <w:pPr>
        <w:pStyle w:val="5"/>
        <w:numPr>
          <w:ilvl w:val="3"/>
          <w:numId w:val="1"/>
        </w:numPr>
        <w:spacing w:before="156" w:after="156"/>
        <w:ind w:left="993" w:hanging="993"/>
        <w:rPr>
          <w:rFonts w:ascii="黑体" w:hAnsi="黑体"/>
        </w:rPr>
      </w:pPr>
      <w:r>
        <w:rPr>
          <w:rFonts w:hint="eastAsia" w:ascii="黑体" w:hAnsi="黑体"/>
        </w:rPr>
        <w:t xml:space="preserve">  企业车辆数据分析</w:t>
      </w:r>
    </w:p>
    <w:p>
      <w:pPr>
        <w:ind w:firstLine="420"/>
        <w:rPr>
          <w:rFonts w:ascii="宋体" w:hAnsi="宋体"/>
        </w:rPr>
      </w:pPr>
      <w:r>
        <w:t>政府安全监管</w:t>
      </w:r>
      <w:r>
        <w:rPr>
          <w:rFonts w:hint="eastAsia" w:ascii="宋体" w:hAnsi="宋体"/>
        </w:rPr>
        <w:t>平台</w:t>
      </w:r>
      <w:r>
        <w:rPr>
          <w:rFonts w:ascii="宋体" w:hAnsi="宋体"/>
        </w:rPr>
        <w:t>应能够实现对</w:t>
      </w:r>
      <w:r>
        <w:rPr>
          <w:rFonts w:hint="eastAsia" w:ascii="宋体" w:hAnsi="宋体"/>
        </w:rPr>
        <w:t>所有入网企业的车辆数据进行分析，按照</w:t>
      </w:r>
      <w:r>
        <w:rPr>
          <w:rFonts w:ascii="宋体" w:hAnsi="宋体"/>
        </w:rPr>
        <w:t>需求生成不同类型的分析报表</w:t>
      </w:r>
      <w:r>
        <w:rPr>
          <w:rFonts w:hint="eastAsia" w:ascii="宋体" w:hAnsi="宋体"/>
        </w:rPr>
        <w:t>，分析内容主要包括：</w:t>
      </w:r>
    </w:p>
    <w:p>
      <w:pPr>
        <w:pStyle w:val="44"/>
        <w:numPr>
          <w:ilvl w:val="0"/>
          <w:numId w:val="3"/>
        </w:numPr>
        <w:ind w:firstLineChars="0"/>
        <w:rPr>
          <w:rFonts w:ascii="宋体" w:hAnsi="宋体" w:cs="宋体"/>
        </w:rPr>
      </w:pPr>
      <w:r>
        <w:rPr>
          <w:rFonts w:hint="eastAsia" w:ascii="宋体" w:hAnsi="宋体" w:cs="宋体"/>
        </w:rPr>
        <w:t xml:space="preserve">  支持显示企业当前车辆入网数量、在线数量、入网率、在线率等相关信息。</w:t>
      </w:r>
    </w:p>
    <w:p>
      <w:pPr>
        <w:pStyle w:val="44"/>
        <w:numPr>
          <w:ilvl w:val="0"/>
          <w:numId w:val="3"/>
        </w:numPr>
        <w:ind w:firstLineChars="0"/>
        <w:rPr>
          <w:rFonts w:ascii="宋体" w:hAnsi="宋体" w:cs="宋体"/>
        </w:rPr>
      </w:pPr>
      <w:r>
        <w:rPr>
          <w:rFonts w:hint="eastAsia" w:ascii="宋体" w:hAnsi="宋体" w:cs="宋体"/>
        </w:rPr>
        <w:t xml:space="preserve">  支持显示企业当前终端运行状态与完备状态。</w:t>
      </w:r>
    </w:p>
    <w:p>
      <w:pPr>
        <w:pStyle w:val="44"/>
        <w:numPr>
          <w:ilvl w:val="0"/>
          <w:numId w:val="3"/>
        </w:numPr>
        <w:ind w:firstLineChars="0"/>
        <w:rPr>
          <w:rFonts w:ascii="宋体" w:hAnsi="宋体" w:cs="宋体"/>
        </w:rPr>
      </w:pPr>
      <w:r>
        <w:rPr>
          <w:rFonts w:hint="eastAsia" w:ascii="宋体" w:hAnsi="宋体" w:cs="宋体"/>
        </w:rPr>
        <w:t xml:space="preserve">  支持对企业车辆数据变化规律进行分析，能够以图表等直观形式显示企业一段时间内入网数量、入网率等相关信息的变化规律。</w:t>
      </w:r>
    </w:p>
    <w:p>
      <w:pPr>
        <w:pStyle w:val="5"/>
        <w:numPr>
          <w:ilvl w:val="3"/>
          <w:numId w:val="1"/>
        </w:numPr>
        <w:spacing w:before="156" w:after="156"/>
        <w:ind w:left="993" w:hanging="993"/>
        <w:rPr>
          <w:rFonts w:ascii="黑体" w:hAnsi="黑体"/>
        </w:rPr>
      </w:pPr>
      <w:r>
        <w:rPr>
          <w:rFonts w:hint="eastAsia" w:ascii="黑体" w:hAnsi="黑体"/>
        </w:rPr>
        <w:t xml:space="preserve">  </w:t>
      </w:r>
      <w:r>
        <w:rPr>
          <w:rFonts w:ascii="黑体" w:hAnsi="黑体"/>
        </w:rPr>
        <w:t>企业报警处理情况分析</w:t>
      </w:r>
    </w:p>
    <w:p>
      <w:pPr>
        <w:ind w:firstLine="420"/>
        <w:rPr>
          <w:rFonts w:ascii="宋体" w:hAnsi="宋体"/>
        </w:rPr>
      </w:pPr>
      <w:r>
        <w:rPr>
          <w:rFonts w:hint="eastAsia" w:ascii="宋体" w:hAnsi="宋体"/>
        </w:rPr>
        <w:t>企业报警处理情况分析主要包含</w:t>
      </w:r>
      <w:r>
        <w:rPr>
          <w:rFonts w:ascii="宋体" w:hAnsi="宋体"/>
        </w:rPr>
        <w:t>对</w:t>
      </w:r>
      <w:r>
        <w:rPr>
          <w:rFonts w:hint="eastAsia" w:ascii="宋体" w:hAnsi="宋体"/>
        </w:rPr>
        <w:t>所有入网企业报警信息处理、处理情况的分析，应能按照用户</w:t>
      </w:r>
      <w:r>
        <w:rPr>
          <w:rFonts w:ascii="宋体" w:hAnsi="宋体"/>
        </w:rPr>
        <w:t>需求生成不同类型的分析报表</w:t>
      </w:r>
      <w:r>
        <w:rPr>
          <w:rFonts w:hint="eastAsia" w:ascii="宋体" w:hAnsi="宋体"/>
        </w:rPr>
        <w:t>，分析内容具体如下：</w:t>
      </w:r>
    </w:p>
    <w:p>
      <w:pPr>
        <w:pStyle w:val="44"/>
        <w:numPr>
          <w:ilvl w:val="0"/>
          <w:numId w:val="4"/>
        </w:numPr>
        <w:ind w:firstLineChars="0"/>
        <w:rPr>
          <w:rFonts w:ascii="宋体" w:hAnsi="宋体" w:cs="宋体"/>
        </w:rPr>
      </w:pPr>
      <w:r>
        <w:rPr>
          <w:rFonts w:hint="eastAsia" w:ascii="宋体" w:hAnsi="宋体" w:cs="宋体"/>
        </w:rPr>
        <w:t xml:space="preserve">  支持显示企业所有报警信息的响应时间和结果等相关信息，相关信息能够以列表等形式展示。</w:t>
      </w:r>
    </w:p>
    <w:p>
      <w:pPr>
        <w:pStyle w:val="44"/>
        <w:numPr>
          <w:ilvl w:val="0"/>
          <w:numId w:val="4"/>
        </w:numPr>
        <w:ind w:firstLineChars="0"/>
        <w:rPr>
          <w:rFonts w:ascii="宋体" w:hAnsi="宋体" w:cs="宋体"/>
        </w:rPr>
      </w:pPr>
      <w:r>
        <w:rPr>
          <w:rFonts w:hint="eastAsia" w:ascii="宋体" w:hAnsi="宋体" w:cs="宋体"/>
        </w:rPr>
        <w:t xml:space="preserve">  支持分析选定时间段内企业平均报警响应时间、企业处理达标率等相关指标。</w:t>
      </w:r>
    </w:p>
    <w:p>
      <w:pPr>
        <w:pStyle w:val="44"/>
        <w:numPr>
          <w:ilvl w:val="0"/>
          <w:numId w:val="4"/>
        </w:numPr>
        <w:ind w:firstLineChars="0"/>
        <w:rPr>
          <w:rFonts w:ascii="宋体" w:hAnsi="宋体" w:cs="宋体"/>
        </w:rPr>
      </w:pPr>
      <w:r>
        <w:rPr>
          <w:rFonts w:hint="eastAsia" w:ascii="宋体" w:hAnsi="宋体" w:cs="宋体"/>
        </w:rPr>
        <w:t xml:space="preserve">  支持按照报警等级、车辆类型分类方式分类分析企业报警响应时间、处理率等指标。</w:t>
      </w:r>
    </w:p>
    <w:p>
      <w:pPr>
        <w:pStyle w:val="44"/>
        <w:numPr>
          <w:ilvl w:val="0"/>
          <w:numId w:val="4"/>
        </w:numPr>
        <w:ind w:firstLineChars="0"/>
        <w:rPr>
          <w:rFonts w:ascii="宋体" w:hAnsi="宋体" w:cs="宋体"/>
        </w:rPr>
      </w:pPr>
      <w:r>
        <w:rPr>
          <w:rFonts w:hint="eastAsia" w:ascii="宋体" w:hAnsi="宋体" w:cs="宋体"/>
        </w:rPr>
        <w:t xml:space="preserve">  支持以直观图表方式显示不同时间段内企业平均报警响应时间、处理率等指标的变化情况。</w:t>
      </w:r>
    </w:p>
    <w:p>
      <w:pPr>
        <w:pStyle w:val="5"/>
        <w:numPr>
          <w:ilvl w:val="3"/>
          <w:numId w:val="1"/>
        </w:numPr>
        <w:spacing w:before="156" w:after="156"/>
        <w:ind w:left="993" w:hanging="993"/>
        <w:rPr>
          <w:rFonts w:ascii="黑体" w:hAnsi="黑体"/>
        </w:rPr>
      </w:pPr>
      <w:r>
        <w:rPr>
          <w:rFonts w:hint="eastAsia" w:ascii="黑体" w:hAnsi="黑体"/>
        </w:rPr>
        <w:t xml:space="preserve">  </w:t>
      </w:r>
      <w:r>
        <w:rPr>
          <w:rFonts w:ascii="黑体" w:hAnsi="黑体"/>
        </w:rPr>
        <w:t>企业运营</w:t>
      </w:r>
      <w:r>
        <w:rPr>
          <w:rFonts w:hint="eastAsia" w:ascii="黑体" w:hAnsi="黑体"/>
        </w:rPr>
        <w:t>管理</w:t>
      </w:r>
      <w:r>
        <w:rPr>
          <w:rFonts w:ascii="黑体" w:hAnsi="黑体"/>
        </w:rPr>
        <w:t>评分</w:t>
      </w:r>
    </w:p>
    <w:p>
      <w:pPr>
        <w:ind w:firstLine="420"/>
      </w:pPr>
      <w:r>
        <w:t>政府安全监管</w:t>
      </w:r>
      <w:r>
        <w:rPr>
          <w:rFonts w:hint="eastAsia"/>
        </w:rPr>
        <w:t>平台可具备对所有入网企业运营管理情况进行评价的功能，支持按照车辆入网率、在线率、报警响应时间、处理达标率等相关指标综合评价企业一定时间内的运营管理情况，并生成企业运营管理评分。</w:t>
      </w:r>
    </w:p>
    <w:p>
      <w:pPr>
        <w:ind w:firstLine="420"/>
      </w:pPr>
      <w:r>
        <w:t>评分规则应根据管理部门相关管理办法进行</w:t>
      </w:r>
      <w:r>
        <w:rPr>
          <w:rFonts w:hint="eastAsia"/>
        </w:rPr>
        <w:t>。</w:t>
      </w:r>
    </w:p>
    <w:p>
      <w:pPr>
        <w:pStyle w:val="5"/>
        <w:numPr>
          <w:ilvl w:val="3"/>
          <w:numId w:val="1"/>
        </w:numPr>
        <w:spacing w:before="156" w:after="156"/>
        <w:ind w:left="993" w:hanging="993"/>
        <w:rPr>
          <w:rFonts w:ascii="黑体" w:hAnsi="黑体"/>
        </w:rPr>
      </w:pPr>
      <w:r>
        <w:rPr>
          <w:rFonts w:hint="eastAsia" w:ascii="黑体" w:hAnsi="黑体"/>
        </w:rPr>
        <w:t xml:space="preserve">  </w:t>
      </w:r>
      <w:r>
        <w:rPr>
          <w:rFonts w:ascii="黑体" w:hAnsi="黑体"/>
        </w:rPr>
        <w:t>企业运营抽查</w:t>
      </w:r>
    </w:p>
    <w:p>
      <w:pPr>
        <w:ind w:firstLine="420"/>
      </w:pPr>
      <w:r>
        <w:t>政府安全监管平台</w:t>
      </w:r>
      <w:r>
        <w:rPr>
          <w:rFonts w:hint="eastAsia"/>
        </w:rPr>
        <w:t>可具备</w:t>
      </w:r>
      <w:r>
        <w:t>对入网企业</w:t>
      </w:r>
      <w:r>
        <w:rPr>
          <w:rFonts w:hint="eastAsia"/>
        </w:rPr>
        <w:t>进行</w:t>
      </w:r>
      <w:r>
        <w:t>抽查的功能，平台能够</w:t>
      </w:r>
      <w:r>
        <w:rPr>
          <w:rFonts w:hint="eastAsia"/>
        </w:rPr>
        <w:t>按照</w:t>
      </w:r>
      <w:r>
        <w:t>随机或者</w:t>
      </w:r>
      <w:r>
        <w:rPr>
          <w:rFonts w:hint="eastAsia"/>
        </w:rPr>
        <w:t>指定</w:t>
      </w:r>
      <w:r>
        <w:t>的方式抽查相关企业运营的详细情况。</w:t>
      </w:r>
      <w:r>
        <w:rPr>
          <w:rFonts w:hint="eastAsia"/>
        </w:rPr>
        <w:t>同时还</w:t>
      </w:r>
      <w:r>
        <w:t>应具备</w:t>
      </w:r>
      <w:r>
        <w:rPr>
          <w:rFonts w:hint="eastAsia"/>
        </w:rPr>
        <w:t>按</w:t>
      </w:r>
      <w:r>
        <w:t>不同指标对企业进行</w:t>
      </w:r>
      <w:r>
        <w:rPr>
          <w:rFonts w:hint="eastAsia"/>
        </w:rPr>
        <w:t>排名的</w:t>
      </w:r>
      <w:r>
        <w:t>功能，</w:t>
      </w:r>
      <w:r>
        <w:rPr>
          <w:rFonts w:hint="eastAsia"/>
        </w:rPr>
        <w:t>便于</w:t>
      </w:r>
      <w:r>
        <w:t>用户根据指标字段查找相关企业情况。</w:t>
      </w:r>
    </w:p>
    <w:p>
      <w:pPr>
        <w:pStyle w:val="4"/>
        <w:numPr>
          <w:ilvl w:val="2"/>
          <w:numId w:val="1"/>
        </w:numPr>
        <w:spacing w:before="156" w:after="156"/>
        <w:ind w:left="851" w:hanging="851"/>
        <w:rPr>
          <w:rFonts w:ascii="黑体" w:hAnsi="黑体"/>
        </w:rPr>
      </w:pPr>
      <w:r>
        <w:rPr>
          <w:rFonts w:hint="eastAsia" w:ascii="黑体" w:hAnsi="黑体"/>
        </w:rPr>
        <w:t xml:space="preserve">  驾驶人</w:t>
      </w:r>
      <w:r>
        <w:rPr>
          <w:rFonts w:ascii="黑体" w:hAnsi="黑体"/>
        </w:rPr>
        <w:t>档案管理</w:t>
      </w:r>
    </w:p>
    <w:p>
      <w:pPr>
        <w:ind w:firstLine="420"/>
      </w:pPr>
      <w:r>
        <w:t>政府安全监管平台应</w:t>
      </w:r>
      <w:r>
        <w:rPr>
          <w:rFonts w:hint="eastAsia"/>
        </w:rPr>
        <w:t>建立驾驶人档案</w:t>
      </w:r>
      <w:r>
        <w:t>库。</w:t>
      </w:r>
      <w:r>
        <w:rPr>
          <w:rFonts w:hint="eastAsia"/>
        </w:rPr>
        <w:t>驾驶人档案</w:t>
      </w:r>
      <w:r>
        <w:t>库信息应包含</w:t>
      </w:r>
      <w:r>
        <w:rPr>
          <w:rFonts w:hint="eastAsia"/>
        </w:rPr>
        <w:t>驾驶人</w:t>
      </w:r>
      <w:r>
        <w:t>姓名</w:t>
      </w:r>
      <w:r>
        <w:rPr>
          <w:rFonts w:hint="eastAsia"/>
        </w:rPr>
        <w:t>、</w:t>
      </w:r>
      <w:r>
        <w:t>身份证号码</w:t>
      </w:r>
      <w:r>
        <w:rPr>
          <w:rFonts w:hint="eastAsia"/>
        </w:rPr>
        <w:t>、驾照</w:t>
      </w:r>
      <w:r>
        <w:t>信息、正面照</w:t>
      </w:r>
      <w:r>
        <w:rPr>
          <w:rFonts w:hint="eastAsia"/>
        </w:rPr>
        <w:t>、从业资格证编码等</w:t>
      </w:r>
      <w:r>
        <w:t>相关信息。</w:t>
      </w:r>
      <w:r>
        <w:rPr>
          <w:rFonts w:hint="eastAsia"/>
        </w:rPr>
        <w:t>驾驶人</w:t>
      </w:r>
      <w:r>
        <w:t>数据库</w:t>
      </w:r>
      <w:r>
        <w:rPr>
          <w:rFonts w:hint="eastAsia"/>
        </w:rPr>
        <w:t>应</w:t>
      </w:r>
      <w:r>
        <w:t>定期更新</w:t>
      </w:r>
      <w:r>
        <w:rPr>
          <w:rFonts w:hint="eastAsia"/>
        </w:rPr>
        <w:t>驾驶人</w:t>
      </w:r>
      <w:r>
        <w:t>驾驶行为数据，</w:t>
      </w:r>
      <w:r>
        <w:rPr>
          <w:rFonts w:hint="eastAsia"/>
        </w:rPr>
        <w:t>包括</w:t>
      </w:r>
      <w:r>
        <w:t>报警类型、</w:t>
      </w:r>
      <w:r>
        <w:rPr>
          <w:rFonts w:hint="eastAsia"/>
        </w:rPr>
        <w:t>报警</w:t>
      </w:r>
      <w:r>
        <w:t>等级</w:t>
      </w:r>
      <w:r>
        <w:rPr>
          <w:rFonts w:hint="eastAsia"/>
        </w:rPr>
        <w:t>、驾驶行为评分</w:t>
      </w:r>
      <w:r>
        <w:t>等。</w:t>
      </w:r>
      <w:r>
        <w:rPr>
          <w:rFonts w:hint="eastAsia"/>
        </w:rPr>
        <w:t>政府安全监管平台</w:t>
      </w:r>
      <w:r>
        <w:t>应能够</w:t>
      </w:r>
      <w:r>
        <w:rPr>
          <w:rFonts w:hint="eastAsia"/>
        </w:rPr>
        <w:t>对驾驶人档案</w:t>
      </w:r>
      <w:r>
        <w:t>库进行管理，</w:t>
      </w:r>
      <w:r>
        <w:rPr>
          <w:rFonts w:hint="eastAsia"/>
        </w:rPr>
        <w:t>支持</w:t>
      </w:r>
      <w:r>
        <w:t>按照企业、</w:t>
      </w:r>
      <w:r>
        <w:rPr>
          <w:rFonts w:hint="eastAsia"/>
        </w:rPr>
        <w:t>车牌号</w:t>
      </w:r>
      <w:r>
        <w:t>、</w:t>
      </w:r>
      <w:r>
        <w:rPr>
          <w:rFonts w:hint="eastAsia"/>
        </w:rPr>
        <w:t>车辆</w:t>
      </w:r>
      <w:r>
        <w:t>类型、</w:t>
      </w:r>
      <w:r>
        <w:rPr>
          <w:rFonts w:hint="eastAsia"/>
        </w:rPr>
        <w:t>报警</w:t>
      </w:r>
      <w:r>
        <w:t>类型</w:t>
      </w:r>
      <w:r>
        <w:rPr>
          <w:rFonts w:hint="eastAsia"/>
        </w:rPr>
        <w:t>、驾驶人</w:t>
      </w:r>
      <w:r>
        <w:t>评分</w:t>
      </w:r>
      <w:r>
        <w:rPr>
          <w:rFonts w:hint="eastAsia"/>
        </w:rPr>
        <w:t>等</w:t>
      </w:r>
      <w:r>
        <w:t>相关筛选条件查找</w:t>
      </w:r>
      <w:r>
        <w:rPr>
          <w:rFonts w:hint="eastAsia"/>
        </w:rPr>
        <w:t>驾驶人</w:t>
      </w:r>
      <w:r>
        <w:t>。</w:t>
      </w:r>
    </w:p>
    <w:p>
      <w:pPr>
        <w:pStyle w:val="4"/>
        <w:numPr>
          <w:ilvl w:val="2"/>
          <w:numId w:val="1"/>
        </w:numPr>
        <w:spacing w:before="156" w:after="156"/>
        <w:ind w:left="851" w:hanging="851"/>
        <w:rPr>
          <w:rFonts w:ascii="黑体" w:hAnsi="黑体"/>
        </w:rPr>
      </w:pPr>
      <w:r>
        <w:rPr>
          <w:rFonts w:hint="eastAsia" w:ascii="黑体" w:hAnsi="黑体"/>
        </w:rPr>
        <w:t xml:space="preserve">  </w:t>
      </w:r>
      <w:r>
        <w:rPr>
          <w:rFonts w:ascii="黑体" w:hAnsi="黑体"/>
        </w:rPr>
        <w:t>信息管理与发布</w:t>
      </w:r>
    </w:p>
    <w:p>
      <w:pPr>
        <w:ind w:firstLine="420"/>
        <w:rPr>
          <w:rFonts w:ascii="黑体" w:hAnsi="黑体" w:eastAsia="黑体"/>
          <w:szCs w:val="21"/>
        </w:rPr>
      </w:pPr>
      <w:r>
        <w:t>政府安全监管平台应当</w:t>
      </w:r>
      <w:r>
        <w:rPr>
          <w:rFonts w:hint="eastAsia"/>
        </w:rPr>
        <w:t>能够向接入</w:t>
      </w:r>
      <w:r>
        <w:t>平台发布相关信息、</w:t>
      </w:r>
      <w:r>
        <w:rPr>
          <w:rFonts w:hint="eastAsia"/>
        </w:rPr>
        <w:t>政</w:t>
      </w:r>
      <w:r>
        <w:rPr>
          <w:rFonts w:hint="eastAsia" w:ascii="宋体" w:hAnsi="宋体"/>
        </w:rPr>
        <w:t>策。</w:t>
      </w:r>
      <w:bookmarkStart w:id="32" w:name="_Toc498008879"/>
    </w:p>
    <w:p>
      <w:pPr>
        <w:pStyle w:val="2"/>
        <w:numPr>
          <w:ilvl w:val="0"/>
          <w:numId w:val="1"/>
        </w:numPr>
        <w:spacing w:beforeLines="50" w:afterLines="50"/>
        <w:ind w:left="0" w:firstLine="0"/>
        <w:rPr>
          <w:rFonts w:ascii="黑体" w:hAnsi="黑体" w:eastAsia="黑体"/>
          <w:b w:val="0"/>
          <w:sz w:val="21"/>
          <w:szCs w:val="21"/>
        </w:rPr>
      </w:pPr>
      <w:bookmarkStart w:id="33" w:name="_Toc9273"/>
      <w:r>
        <w:rPr>
          <w:rFonts w:hint="eastAsia" w:ascii="黑体" w:hAnsi="黑体" w:eastAsia="黑体"/>
          <w:b w:val="0"/>
          <w:sz w:val="21"/>
          <w:szCs w:val="21"/>
        </w:rPr>
        <w:t xml:space="preserve">  </w:t>
      </w:r>
      <w:bookmarkStart w:id="34" w:name="_Toc520501673"/>
      <w:r>
        <w:rPr>
          <w:rFonts w:ascii="黑体" w:hAnsi="黑体" w:eastAsia="黑体"/>
          <w:b w:val="0"/>
          <w:sz w:val="21"/>
          <w:szCs w:val="21"/>
        </w:rPr>
        <w:t>企业安全监控平台</w:t>
      </w:r>
      <w:bookmarkEnd w:id="32"/>
      <w:bookmarkEnd w:id="33"/>
      <w:bookmarkEnd w:id="34"/>
    </w:p>
    <w:p>
      <w:pPr>
        <w:pStyle w:val="3"/>
        <w:numPr>
          <w:ilvl w:val="1"/>
          <w:numId w:val="1"/>
        </w:numPr>
        <w:spacing w:before="156" w:after="156"/>
        <w:ind w:left="567"/>
        <w:rPr>
          <w:rFonts w:ascii="黑体" w:hAnsi="黑体" w:eastAsia="黑体"/>
          <w:b w:val="0"/>
          <w:sz w:val="21"/>
          <w:szCs w:val="21"/>
        </w:rPr>
      </w:pPr>
      <w:r>
        <w:rPr>
          <w:rFonts w:hint="eastAsia" w:ascii="黑体" w:hAnsi="黑体" w:eastAsia="黑体"/>
          <w:b w:val="0"/>
          <w:sz w:val="21"/>
          <w:szCs w:val="21"/>
        </w:rPr>
        <w:t xml:space="preserve">  基础功能</w:t>
      </w:r>
    </w:p>
    <w:p>
      <w:pPr>
        <w:ind w:firstLine="420"/>
        <w:rPr>
          <w:rFonts w:ascii="宋体" w:hAnsi="宋体" w:cs="宋体"/>
        </w:rPr>
      </w:pPr>
      <w:r>
        <w:rPr>
          <w:rFonts w:hint="eastAsia" w:ascii="宋体" w:hAnsi="宋体" w:cs="宋体"/>
        </w:rPr>
        <w:t>企业安全监管平台基本功能应满足JT/T 796中第6章描述的所有功能。</w:t>
      </w:r>
    </w:p>
    <w:p>
      <w:pPr>
        <w:pStyle w:val="3"/>
        <w:numPr>
          <w:ilvl w:val="1"/>
          <w:numId w:val="1"/>
        </w:numPr>
        <w:spacing w:before="156" w:after="156"/>
        <w:ind w:left="567"/>
        <w:rPr>
          <w:rFonts w:ascii="黑体" w:hAnsi="黑体" w:eastAsia="黑体"/>
          <w:b w:val="0"/>
          <w:sz w:val="21"/>
          <w:szCs w:val="21"/>
        </w:rPr>
      </w:pPr>
      <w:r>
        <w:rPr>
          <w:rFonts w:hint="eastAsia" w:ascii="黑体" w:hAnsi="黑体" w:eastAsia="黑体"/>
          <w:b w:val="0"/>
          <w:sz w:val="21"/>
          <w:szCs w:val="21"/>
        </w:rPr>
        <w:t xml:space="preserve">  扩展</w:t>
      </w:r>
      <w:r>
        <w:rPr>
          <w:rFonts w:ascii="黑体" w:hAnsi="黑体" w:eastAsia="黑体"/>
          <w:b w:val="0"/>
          <w:sz w:val="21"/>
          <w:szCs w:val="21"/>
        </w:rPr>
        <w:t>功能</w:t>
      </w:r>
    </w:p>
    <w:p>
      <w:pPr>
        <w:pStyle w:val="4"/>
        <w:numPr>
          <w:ilvl w:val="2"/>
          <w:numId w:val="1"/>
        </w:numPr>
        <w:spacing w:before="156" w:after="156"/>
        <w:ind w:left="851" w:hanging="851"/>
        <w:rPr>
          <w:rFonts w:ascii="黑体" w:hAnsi="黑体"/>
        </w:rPr>
      </w:pPr>
      <w:r>
        <w:rPr>
          <w:rFonts w:hint="eastAsia" w:ascii="黑体" w:hAnsi="黑体"/>
        </w:rPr>
        <w:t xml:space="preserve">  用户</w:t>
      </w:r>
      <w:r>
        <w:rPr>
          <w:rFonts w:ascii="黑体" w:hAnsi="黑体"/>
        </w:rPr>
        <w:t>管理</w:t>
      </w:r>
    </w:p>
    <w:p>
      <w:pPr>
        <w:ind w:firstLine="420"/>
        <w:rPr>
          <w:rFonts w:ascii="宋体" w:hAnsi="宋体" w:cs="宋体"/>
        </w:rPr>
      </w:pPr>
      <w:bookmarkStart w:id="35" w:name="_Toc496263451"/>
      <w:r>
        <w:rPr>
          <w:rFonts w:hint="eastAsia" w:ascii="宋体" w:hAnsi="宋体" w:cs="宋体"/>
        </w:rPr>
        <w:t>用户管理应满足JT/T 1077中第5章5.2用户管理中描述的功能。</w:t>
      </w:r>
    </w:p>
    <w:p>
      <w:pPr>
        <w:pStyle w:val="4"/>
        <w:numPr>
          <w:ilvl w:val="2"/>
          <w:numId w:val="1"/>
        </w:numPr>
        <w:spacing w:before="156" w:after="156"/>
        <w:ind w:left="851" w:hanging="851"/>
        <w:rPr>
          <w:rFonts w:ascii="黑体" w:hAnsi="黑体"/>
        </w:rPr>
      </w:pPr>
      <w:r>
        <w:rPr>
          <w:rFonts w:hint="eastAsia" w:ascii="黑体" w:hAnsi="黑体"/>
        </w:rPr>
        <w:t xml:space="preserve">  </w:t>
      </w:r>
      <w:r>
        <w:rPr>
          <w:rFonts w:ascii="黑体" w:hAnsi="黑体"/>
        </w:rPr>
        <w:t>报警类型</w:t>
      </w:r>
    </w:p>
    <w:p>
      <w:pPr>
        <w:ind w:firstLine="420"/>
      </w:pPr>
      <w:r>
        <w:rPr>
          <w:rFonts w:hint="eastAsia"/>
        </w:rPr>
        <w:t>企业安全监控平台应支持接收由主动安全智能防控</w:t>
      </w:r>
      <w:r>
        <w:t>终端</w:t>
      </w:r>
      <w:r>
        <w:rPr>
          <w:rFonts w:hint="eastAsia"/>
        </w:rPr>
        <w:t>触发的</w:t>
      </w:r>
      <w:r>
        <w:t>前向碰撞报警、车道偏离报警、车距过近报警</w:t>
      </w:r>
      <w:r>
        <w:rPr>
          <w:rFonts w:hint="eastAsia"/>
        </w:rPr>
        <w:t>、</w:t>
      </w:r>
      <w:r>
        <w:t>疲劳驾驶</w:t>
      </w:r>
      <w:r>
        <w:rPr>
          <w:rFonts w:hint="eastAsia"/>
        </w:rPr>
        <w:t>报</w:t>
      </w:r>
      <w:r>
        <w:t>警、</w:t>
      </w:r>
      <w:r>
        <w:rPr>
          <w:rFonts w:hint="eastAsia"/>
        </w:rPr>
        <w:t>分神驾驶报警</w:t>
      </w:r>
      <w:r>
        <w:t>、</w:t>
      </w:r>
      <w:r>
        <w:rPr>
          <w:rFonts w:hint="eastAsia"/>
        </w:rPr>
        <w:t>接打电话报警</w:t>
      </w:r>
      <w:r>
        <w:t>、抽烟</w:t>
      </w:r>
      <w:r>
        <w:rPr>
          <w:rFonts w:hint="eastAsia"/>
        </w:rPr>
        <w:t>报警</w:t>
      </w:r>
      <w:r>
        <w:t>、</w:t>
      </w:r>
      <w:r>
        <w:rPr>
          <w:rFonts w:hint="eastAsia"/>
        </w:rPr>
        <w:t>驾驶人异常报</w:t>
      </w:r>
      <w:r>
        <w:t>警</w:t>
      </w:r>
      <w:r>
        <w:rPr>
          <w:rFonts w:hint="eastAsia"/>
        </w:rPr>
        <w:t>等。</w:t>
      </w:r>
    </w:p>
    <w:bookmarkEnd w:id="35"/>
    <w:p>
      <w:pPr>
        <w:pStyle w:val="4"/>
        <w:numPr>
          <w:ilvl w:val="2"/>
          <w:numId w:val="1"/>
        </w:numPr>
        <w:spacing w:before="156" w:after="156"/>
        <w:ind w:left="851" w:hanging="851"/>
        <w:rPr>
          <w:rFonts w:ascii="黑体" w:hAnsi="黑体"/>
        </w:rPr>
      </w:pPr>
      <w:bookmarkStart w:id="36" w:name="_Toc496263452"/>
      <w:r>
        <w:rPr>
          <w:rFonts w:hint="eastAsia" w:ascii="黑体" w:hAnsi="黑体"/>
        </w:rPr>
        <w:t xml:space="preserve">  </w:t>
      </w:r>
      <w:r>
        <w:rPr>
          <w:rFonts w:ascii="黑体" w:hAnsi="黑体"/>
        </w:rPr>
        <w:t>报警信息实时</w:t>
      </w:r>
      <w:r>
        <w:rPr>
          <w:rFonts w:hint="eastAsia" w:ascii="黑体" w:hAnsi="黑体"/>
        </w:rPr>
        <w:t>监控及</w:t>
      </w:r>
      <w:r>
        <w:rPr>
          <w:rFonts w:ascii="黑体" w:hAnsi="黑体"/>
        </w:rPr>
        <w:t>处理</w:t>
      </w:r>
      <w:bookmarkEnd w:id="36"/>
    </w:p>
    <w:p>
      <w:pPr>
        <w:ind w:firstLine="420"/>
        <w:rPr>
          <w:rFonts w:ascii="宋体" w:hAnsi="宋体"/>
        </w:rPr>
      </w:pPr>
      <w:bookmarkStart w:id="37" w:name="_Toc496263453"/>
      <w:r>
        <w:rPr>
          <w:rFonts w:hint="eastAsia" w:ascii="宋体" w:hAnsi="宋体"/>
        </w:rPr>
        <w:t>企业安全监控平台应实现对车辆主动安全</w:t>
      </w:r>
      <w:r>
        <w:rPr>
          <w:rFonts w:ascii="宋体" w:hAnsi="宋体"/>
        </w:rPr>
        <w:t>报警信息的</w:t>
      </w:r>
      <w:r>
        <w:rPr>
          <w:rFonts w:hint="eastAsia" w:ascii="宋体" w:hAnsi="宋体"/>
        </w:rPr>
        <w:t>实时</w:t>
      </w:r>
      <w:r>
        <w:rPr>
          <w:rFonts w:ascii="宋体" w:hAnsi="宋体"/>
        </w:rPr>
        <w:t>处理，</w:t>
      </w:r>
      <w:r>
        <w:rPr>
          <w:rFonts w:hint="eastAsia" w:ascii="宋体" w:hAnsi="宋体"/>
        </w:rPr>
        <w:t>终端</w:t>
      </w:r>
      <w:r>
        <w:rPr>
          <w:rFonts w:ascii="宋体" w:hAnsi="宋体"/>
        </w:rPr>
        <w:t>根据</w:t>
      </w:r>
      <w:r>
        <w:rPr>
          <w:rFonts w:hint="eastAsia" w:ascii="宋体" w:hAnsi="宋体"/>
        </w:rPr>
        <w:t>车速</w:t>
      </w:r>
      <w:r>
        <w:rPr>
          <w:rFonts w:ascii="宋体" w:hAnsi="宋体"/>
        </w:rPr>
        <w:t>与报警参数将报警分为</w:t>
      </w:r>
      <w:r>
        <w:rPr>
          <w:rFonts w:hint="eastAsia" w:ascii="宋体" w:hAnsi="宋体"/>
        </w:rPr>
        <w:t>一级</w:t>
      </w:r>
      <w:r>
        <w:rPr>
          <w:rFonts w:ascii="宋体" w:hAnsi="宋体"/>
        </w:rPr>
        <w:t>报警和二级报警，具体分级策略参见终端技术规范</w:t>
      </w:r>
      <w:r>
        <w:rPr>
          <w:rFonts w:hint="eastAsia" w:ascii="宋体" w:hAnsi="宋体"/>
        </w:rPr>
        <w:t>，</w:t>
      </w:r>
      <w:r>
        <w:rPr>
          <w:rFonts w:ascii="宋体" w:hAnsi="宋体"/>
        </w:rPr>
        <w:t>平台接收到报警时应区分</w:t>
      </w:r>
      <w:r>
        <w:rPr>
          <w:rFonts w:hint="eastAsia" w:ascii="宋体" w:hAnsi="宋体"/>
        </w:rPr>
        <w:t>报警</w:t>
      </w:r>
      <w:r>
        <w:rPr>
          <w:rFonts w:ascii="宋体" w:hAnsi="宋体"/>
        </w:rPr>
        <w:t>级别进行处理，具体措施如下：</w:t>
      </w:r>
    </w:p>
    <w:p>
      <w:pPr>
        <w:pStyle w:val="44"/>
        <w:numPr>
          <w:ilvl w:val="0"/>
          <w:numId w:val="5"/>
        </w:numPr>
        <w:ind w:firstLineChars="0"/>
        <w:rPr>
          <w:rFonts w:ascii="宋体" w:hAnsi="宋体" w:cs="宋体"/>
        </w:rPr>
      </w:pPr>
      <w:r>
        <w:rPr>
          <w:rFonts w:hint="eastAsia" w:ascii="宋体" w:hAnsi="宋体" w:cs="宋体"/>
        </w:rPr>
        <w:t xml:space="preserve">  平台接收到一级报警时，应当记录报警信息并存档。</w:t>
      </w:r>
    </w:p>
    <w:p>
      <w:pPr>
        <w:pStyle w:val="44"/>
        <w:numPr>
          <w:ilvl w:val="0"/>
          <w:numId w:val="5"/>
        </w:numPr>
        <w:ind w:firstLineChars="0"/>
        <w:rPr>
          <w:rFonts w:ascii="宋体" w:hAnsi="宋体" w:cs="宋体"/>
        </w:rPr>
      </w:pPr>
      <w:r>
        <w:rPr>
          <w:rFonts w:hint="eastAsia" w:ascii="宋体" w:hAnsi="宋体" w:cs="宋体"/>
        </w:rPr>
        <w:t xml:space="preserve">  如车辆在单位时间内上报一级报警达到一定数量，平台应产生一条驾驶人分神驾驶的二级报警。</w:t>
      </w:r>
    </w:p>
    <w:p>
      <w:pPr>
        <w:pStyle w:val="44"/>
        <w:numPr>
          <w:ilvl w:val="0"/>
          <w:numId w:val="5"/>
        </w:numPr>
        <w:ind w:firstLineChars="0"/>
        <w:rPr>
          <w:rFonts w:ascii="宋体" w:hAnsi="宋体" w:cs="宋体"/>
        </w:rPr>
      </w:pPr>
      <w:r>
        <w:rPr>
          <w:rFonts w:hint="eastAsia" w:ascii="宋体" w:hAnsi="宋体" w:cs="宋体"/>
        </w:rPr>
        <w:t xml:space="preserve">  平台接收到二级报警时，应记录报警信息并存档，同时应以声音或图像的方式提醒监控人员。</w:t>
      </w:r>
    </w:p>
    <w:p>
      <w:pPr>
        <w:ind w:firstLine="420"/>
      </w:pPr>
      <w:r>
        <w:rPr>
          <w:rFonts w:hint="eastAsia"/>
        </w:rPr>
        <w:t>企业安全监控平台应能够存储平台内车辆的主动安全智能防控相关信息，报警信息包含报警类型，报警等级，报警开始时间，报警结束时间，报警时车速，经纬度，高程。</w:t>
      </w:r>
    </w:p>
    <w:p>
      <w:pPr>
        <w:pStyle w:val="4"/>
        <w:numPr>
          <w:ilvl w:val="2"/>
          <w:numId w:val="1"/>
        </w:numPr>
        <w:spacing w:before="156" w:after="156"/>
        <w:ind w:left="851" w:hanging="851"/>
        <w:rPr>
          <w:rFonts w:ascii="黑体" w:hAnsi="黑体"/>
        </w:rPr>
      </w:pPr>
      <w:r>
        <w:rPr>
          <w:rFonts w:hint="eastAsia" w:ascii="黑体" w:hAnsi="黑体"/>
        </w:rPr>
        <w:t xml:space="preserve">  </w:t>
      </w:r>
      <w:r>
        <w:rPr>
          <w:rFonts w:ascii="黑体" w:hAnsi="黑体"/>
        </w:rPr>
        <w:t>报警查询</w:t>
      </w:r>
      <w:bookmarkEnd w:id="37"/>
    </w:p>
    <w:p>
      <w:pPr>
        <w:ind w:firstLine="420"/>
        <w:rPr>
          <w:rFonts w:ascii="宋体" w:hAnsi="宋体"/>
        </w:rPr>
      </w:pPr>
      <w:bookmarkStart w:id="38" w:name="_Toc496263454"/>
      <w:r>
        <w:rPr>
          <w:rFonts w:ascii="宋体" w:hAnsi="宋体"/>
        </w:rPr>
        <w:t>企业安全监控平台应能够实现对</w:t>
      </w:r>
      <w:r>
        <w:rPr>
          <w:rFonts w:hint="eastAsia" w:ascii="宋体" w:hAnsi="宋体"/>
        </w:rPr>
        <w:t>所有相关</w:t>
      </w:r>
      <w:r>
        <w:rPr>
          <w:rFonts w:ascii="宋体" w:hAnsi="宋体"/>
        </w:rPr>
        <w:t>企业车辆</w:t>
      </w:r>
      <w:r>
        <w:rPr>
          <w:rFonts w:hint="eastAsia" w:ascii="宋体" w:hAnsi="宋体"/>
        </w:rPr>
        <w:t>报警</w:t>
      </w:r>
      <w:r>
        <w:rPr>
          <w:rFonts w:ascii="宋体" w:hAnsi="宋体"/>
        </w:rPr>
        <w:t>信息的查询，</w:t>
      </w:r>
      <w:r>
        <w:rPr>
          <w:rFonts w:hint="eastAsia" w:ascii="宋体" w:hAnsi="宋体"/>
        </w:rPr>
        <w:t>按照</w:t>
      </w:r>
      <w:r>
        <w:rPr>
          <w:rFonts w:ascii="宋体" w:hAnsi="宋体"/>
        </w:rPr>
        <w:t>需求生成不同类型的</w:t>
      </w:r>
      <w:r>
        <w:rPr>
          <w:rFonts w:hint="eastAsia" w:ascii="宋体" w:hAnsi="宋体"/>
        </w:rPr>
        <w:t>查询</w:t>
      </w:r>
      <w:r>
        <w:rPr>
          <w:rFonts w:ascii="宋体" w:hAnsi="宋体"/>
        </w:rPr>
        <w:t>报表，</w:t>
      </w:r>
      <w:r>
        <w:rPr>
          <w:rFonts w:hint="eastAsia" w:ascii="宋体" w:hAnsi="宋体"/>
        </w:rPr>
        <w:t>具体</w:t>
      </w:r>
      <w:r>
        <w:rPr>
          <w:rFonts w:ascii="宋体" w:hAnsi="宋体"/>
        </w:rPr>
        <w:t>要求如下：</w:t>
      </w:r>
    </w:p>
    <w:p>
      <w:pPr>
        <w:pStyle w:val="44"/>
        <w:numPr>
          <w:ilvl w:val="0"/>
          <w:numId w:val="6"/>
        </w:numPr>
        <w:ind w:firstLineChars="0"/>
        <w:rPr>
          <w:rFonts w:ascii="宋体" w:hAnsi="宋体" w:cs="宋体"/>
        </w:rPr>
      </w:pPr>
      <w:r>
        <w:rPr>
          <w:rFonts w:hint="eastAsia" w:ascii="宋体" w:hAnsi="宋体" w:cs="宋体"/>
        </w:rPr>
        <w:t xml:space="preserve">  支持按驾驶人查询报警信息。</w:t>
      </w:r>
    </w:p>
    <w:p>
      <w:pPr>
        <w:pStyle w:val="44"/>
        <w:numPr>
          <w:ilvl w:val="0"/>
          <w:numId w:val="6"/>
        </w:numPr>
        <w:ind w:firstLineChars="0"/>
        <w:rPr>
          <w:rFonts w:ascii="宋体" w:hAnsi="宋体" w:cs="宋体"/>
        </w:rPr>
      </w:pPr>
      <w:r>
        <w:rPr>
          <w:rFonts w:hint="eastAsia" w:ascii="宋体" w:hAnsi="宋体" w:cs="宋体"/>
        </w:rPr>
        <w:t xml:space="preserve">  支持按车辆牌照查询报警信息。</w:t>
      </w:r>
    </w:p>
    <w:p>
      <w:pPr>
        <w:pStyle w:val="44"/>
        <w:numPr>
          <w:ilvl w:val="0"/>
          <w:numId w:val="6"/>
        </w:numPr>
        <w:ind w:firstLineChars="0"/>
        <w:rPr>
          <w:rFonts w:ascii="宋体" w:hAnsi="宋体" w:cs="宋体"/>
        </w:rPr>
      </w:pPr>
      <w:r>
        <w:rPr>
          <w:rFonts w:hint="eastAsia" w:ascii="宋体" w:hAnsi="宋体" w:cs="宋体"/>
        </w:rPr>
        <w:t xml:space="preserve">  支持按照报警类型、报警等级查询报警信息。</w:t>
      </w:r>
    </w:p>
    <w:p>
      <w:pPr>
        <w:pStyle w:val="44"/>
        <w:numPr>
          <w:ilvl w:val="0"/>
          <w:numId w:val="6"/>
        </w:numPr>
        <w:ind w:firstLineChars="0"/>
        <w:rPr>
          <w:rFonts w:ascii="宋体" w:hAnsi="宋体" w:cs="宋体"/>
        </w:rPr>
      </w:pPr>
      <w:r>
        <w:rPr>
          <w:rFonts w:hint="eastAsia" w:ascii="宋体" w:hAnsi="宋体" w:cs="宋体"/>
        </w:rPr>
        <w:t xml:space="preserve">  支持按时间段查询报警信息。</w:t>
      </w:r>
    </w:p>
    <w:p>
      <w:pPr>
        <w:pStyle w:val="44"/>
        <w:numPr>
          <w:ilvl w:val="0"/>
          <w:numId w:val="6"/>
        </w:numPr>
        <w:ind w:firstLineChars="0"/>
        <w:rPr>
          <w:rFonts w:ascii="宋体" w:hAnsi="宋体" w:cs="宋体"/>
        </w:rPr>
      </w:pPr>
      <w:r>
        <w:rPr>
          <w:rFonts w:hint="eastAsia" w:ascii="宋体" w:hAnsi="宋体" w:cs="宋体"/>
        </w:rPr>
        <w:t xml:space="preserve">  支持对所查询报警信息相关音视频、照片证据的回放及导出。</w:t>
      </w:r>
    </w:p>
    <w:p>
      <w:pPr>
        <w:pStyle w:val="44"/>
        <w:numPr>
          <w:ilvl w:val="0"/>
          <w:numId w:val="6"/>
        </w:numPr>
        <w:ind w:firstLineChars="0"/>
        <w:rPr>
          <w:rFonts w:ascii="宋体" w:hAnsi="宋体" w:cs="宋体"/>
        </w:rPr>
      </w:pPr>
      <w:r>
        <w:rPr>
          <w:rFonts w:hint="eastAsia" w:ascii="宋体" w:hAnsi="宋体" w:cs="宋体"/>
        </w:rPr>
        <w:t xml:space="preserve">  支持查询信息报表生成功能，生成包含查询时间段、查询发起方身份、详细报警信息等在内的查询报表，并应支持报表的导出功能。</w:t>
      </w:r>
    </w:p>
    <w:p>
      <w:pPr>
        <w:pStyle w:val="4"/>
        <w:numPr>
          <w:ilvl w:val="2"/>
          <w:numId w:val="1"/>
        </w:numPr>
        <w:spacing w:before="156" w:after="156"/>
        <w:ind w:left="851" w:hanging="851"/>
        <w:rPr>
          <w:rFonts w:ascii="黑体" w:hAnsi="黑体"/>
        </w:rPr>
      </w:pPr>
      <w:r>
        <w:rPr>
          <w:rFonts w:hint="eastAsia" w:ascii="黑体" w:hAnsi="黑体"/>
        </w:rPr>
        <w:t xml:space="preserve">  报警</w:t>
      </w:r>
      <w:r>
        <w:rPr>
          <w:rFonts w:ascii="黑体" w:hAnsi="黑体"/>
        </w:rPr>
        <w:t>信息统计与分析</w:t>
      </w:r>
      <w:bookmarkEnd w:id="38"/>
    </w:p>
    <w:p>
      <w:pPr>
        <w:ind w:firstLine="420"/>
      </w:pPr>
      <w:bookmarkStart w:id="39" w:name="_Toc496263455"/>
      <w:r>
        <w:rPr>
          <w:rFonts w:hint="eastAsia"/>
        </w:rPr>
        <w:t>企业</w:t>
      </w:r>
      <w:r>
        <w:t>安全监控平台应能</w:t>
      </w:r>
      <w:r>
        <w:rPr>
          <w:rFonts w:hint="eastAsia"/>
        </w:rPr>
        <w:t>够</w:t>
      </w:r>
      <w:r>
        <w:t>实现</w:t>
      </w:r>
      <w:r>
        <w:rPr>
          <w:rFonts w:hint="eastAsia"/>
        </w:rPr>
        <w:t>对</w:t>
      </w:r>
      <w:r>
        <w:t>所有相关企业车辆报警信息</w:t>
      </w:r>
      <w:r>
        <w:rPr>
          <w:rFonts w:hint="eastAsia"/>
        </w:rPr>
        <w:t>的</w:t>
      </w:r>
      <w:r>
        <w:t>分析，</w:t>
      </w:r>
      <w:r>
        <w:rPr>
          <w:rFonts w:hint="eastAsia"/>
        </w:rPr>
        <w:t>按照</w:t>
      </w:r>
      <w:r>
        <w:t>需求</w:t>
      </w:r>
      <w:r>
        <w:rPr>
          <w:rFonts w:ascii="宋体" w:hAnsi="宋体"/>
        </w:rPr>
        <w:t>生成</w:t>
      </w:r>
      <w:r>
        <w:t>不同的类型分析报告</w:t>
      </w:r>
      <w:r>
        <w:rPr>
          <w:rFonts w:hint="eastAsia"/>
        </w:rPr>
        <w:t>，</w:t>
      </w:r>
      <w:r>
        <w:t>具体要求如下：</w:t>
      </w:r>
    </w:p>
    <w:p>
      <w:pPr>
        <w:pStyle w:val="44"/>
        <w:numPr>
          <w:ilvl w:val="0"/>
          <w:numId w:val="7"/>
        </w:numPr>
        <w:ind w:firstLineChars="0"/>
      </w:pPr>
      <w:r>
        <w:rPr>
          <w:rFonts w:hint="eastAsia"/>
        </w:rPr>
        <w:t xml:space="preserve">  支持对</w:t>
      </w:r>
      <w:r>
        <w:t>企业报警类型进行统计分析，</w:t>
      </w:r>
      <w:r>
        <w:rPr>
          <w:rFonts w:hint="eastAsia"/>
        </w:rPr>
        <w:t>可</w:t>
      </w:r>
      <w:r>
        <w:t>直观展现</w:t>
      </w:r>
      <w:r>
        <w:rPr>
          <w:rFonts w:hint="eastAsia"/>
        </w:rPr>
        <w:t>各种类型</w:t>
      </w:r>
      <w:r>
        <w:t>报警</w:t>
      </w:r>
      <w:r>
        <w:rPr>
          <w:rFonts w:hint="eastAsia"/>
        </w:rPr>
        <w:t>变化</w:t>
      </w:r>
      <w:r>
        <w:t>趋势和相对比例</w:t>
      </w:r>
      <w:r>
        <w:rPr>
          <w:rFonts w:hint="eastAsia"/>
        </w:rPr>
        <w:t>。</w:t>
      </w:r>
    </w:p>
    <w:p>
      <w:pPr>
        <w:pStyle w:val="44"/>
        <w:numPr>
          <w:ilvl w:val="0"/>
          <w:numId w:val="7"/>
        </w:numPr>
        <w:ind w:firstLineChars="0"/>
      </w:pPr>
      <w:r>
        <w:rPr>
          <w:rFonts w:hint="eastAsia"/>
        </w:rPr>
        <w:t xml:space="preserve">  支持对企业内驾驶人关联</w:t>
      </w:r>
      <w:r>
        <w:t>报警进行分析，</w:t>
      </w:r>
      <w:r>
        <w:rPr>
          <w:rFonts w:hint="eastAsia"/>
        </w:rPr>
        <w:t>可</w:t>
      </w:r>
      <w:r>
        <w:t>形成</w:t>
      </w:r>
      <w:r>
        <w:rPr>
          <w:rFonts w:hint="eastAsia"/>
        </w:rPr>
        <w:t>驾驶人驾驶</w:t>
      </w:r>
      <w:r>
        <w:t>行为</w:t>
      </w:r>
      <w:r>
        <w:rPr>
          <w:rFonts w:hint="eastAsia"/>
        </w:rPr>
        <w:t>统计报表</w:t>
      </w:r>
      <w:r>
        <w:t>。</w:t>
      </w:r>
    </w:p>
    <w:p>
      <w:pPr>
        <w:pStyle w:val="44"/>
        <w:numPr>
          <w:ilvl w:val="0"/>
          <w:numId w:val="7"/>
        </w:numPr>
        <w:ind w:firstLineChars="0"/>
      </w:pPr>
      <w:r>
        <w:rPr>
          <w:rFonts w:hint="eastAsia"/>
        </w:rPr>
        <w:t xml:space="preserve">  支持对</w:t>
      </w:r>
      <w:r>
        <w:t>企业内车辆关联报警进行分析</w:t>
      </w:r>
      <w:r>
        <w:rPr>
          <w:rFonts w:hint="eastAsia"/>
        </w:rPr>
        <w:t>，</w:t>
      </w:r>
      <w:r>
        <w:t>行</w:t>
      </w:r>
      <w:r>
        <w:rPr>
          <w:rFonts w:hint="eastAsia"/>
        </w:rPr>
        <w:t>成</w:t>
      </w:r>
      <w:r>
        <w:t>车辆报警</w:t>
      </w:r>
      <w:r>
        <w:rPr>
          <w:rFonts w:hint="eastAsia"/>
        </w:rPr>
        <w:t>统计分析图</w:t>
      </w:r>
      <w:r>
        <w:t>。</w:t>
      </w:r>
    </w:p>
    <w:p>
      <w:pPr>
        <w:pStyle w:val="4"/>
        <w:numPr>
          <w:ilvl w:val="2"/>
          <w:numId w:val="1"/>
        </w:numPr>
        <w:spacing w:before="156" w:after="156"/>
        <w:ind w:left="851" w:hanging="851"/>
        <w:rPr>
          <w:rFonts w:ascii="黑体" w:hAnsi="黑体"/>
        </w:rPr>
      </w:pPr>
      <w:r>
        <w:rPr>
          <w:rFonts w:hint="eastAsia" w:ascii="黑体" w:hAnsi="黑体"/>
        </w:rPr>
        <w:t xml:space="preserve">  驾驶人档案</w:t>
      </w:r>
      <w:r>
        <w:rPr>
          <w:rFonts w:ascii="黑体" w:hAnsi="黑体"/>
        </w:rPr>
        <w:t>管理</w:t>
      </w:r>
      <w:bookmarkEnd w:id="39"/>
    </w:p>
    <w:p>
      <w:pPr>
        <w:ind w:firstLine="420"/>
      </w:pPr>
      <w:r>
        <w:rPr>
          <w:rFonts w:hint="eastAsia"/>
        </w:rPr>
        <w:t>企业安全监控平台应当设立驾驶人档案库。支持将驾驶人信息录入驾驶人档案</w:t>
      </w:r>
      <w:r>
        <w:t>库的功能。</w:t>
      </w:r>
      <w:r>
        <w:rPr>
          <w:rFonts w:hint="eastAsia"/>
        </w:rPr>
        <w:t>驾驶人档案</w:t>
      </w:r>
      <w:r>
        <w:t>库信息应包含</w:t>
      </w:r>
      <w:r>
        <w:rPr>
          <w:rFonts w:hint="eastAsia"/>
        </w:rPr>
        <w:t>驾驶人</w:t>
      </w:r>
      <w:r>
        <w:t>姓名</w:t>
      </w:r>
      <w:r>
        <w:rPr>
          <w:rFonts w:hint="eastAsia"/>
        </w:rPr>
        <w:t>、</w:t>
      </w:r>
      <w:r>
        <w:t>身份证号码</w:t>
      </w:r>
      <w:r>
        <w:rPr>
          <w:rFonts w:hint="eastAsia"/>
        </w:rPr>
        <w:t>、驾照</w:t>
      </w:r>
      <w:r>
        <w:t>信息、正面照</w:t>
      </w:r>
      <w:r>
        <w:rPr>
          <w:rFonts w:hint="eastAsia"/>
        </w:rPr>
        <w:t>、从业资格证编码等</w:t>
      </w:r>
      <w:r>
        <w:t>相关信息。</w:t>
      </w:r>
    </w:p>
    <w:p>
      <w:pPr>
        <w:ind w:firstLine="420"/>
      </w:pPr>
      <w:r>
        <w:rPr>
          <w:rFonts w:hint="eastAsia"/>
        </w:rPr>
        <w:t>企业安全监控平台</w:t>
      </w:r>
      <w:r>
        <w:t>应具备将</w:t>
      </w:r>
      <w:r>
        <w:rPr>
          <w:rFonts w:hint="eastAsia"/>
        </w:rPr>
        <w:t>驾驶人</w:t>
      </w:r>
      <w:r>
        <w:t>信息</w:t>
      </w:r>
      <w:r>
        <w:rPr>
          <w:rFonts w:hint="eastAsia"/>
        </w:rPr>
        <w:t>同步到</w:t>
      </w:r>
      <w:r>
        <w:t>政府安全监管平台</w:t>
      </w:r>
      <w:r>
        <w:rPr>
          <w:rFonts w:hint="eastAsia"/>
        </w:rPr>
        <w:t>驾驶人档案</w:t>
      </w:r>
      <w:r>
        <w:t>库的功能。</w:t>
      </w:r>
    </w:p>
    <w:p>
      <w:pPr>
        <w:pStyle w:val="4"/>
        <w:numPr>
          <w:ilvl w:val="2"/>
          <w:numId w:val="1"/>
        </w:numPr>
        <w:spacing w:before="156" w:after="156"/>
        <w:ind w:left="851" w:hanging="851"/>
        <w:rPr>
          <w:rFonts w:ascii="黑体" w:hAnsi="黑体"/>
        </w:rPr>
      </w:pPr>
      <w:bookmarkStart w:id="40" w:name="_Toc496263456"/>
      <w:r>
        <w:rPr>
          <w:rFonts w:hint="eastAsia" w:ascii="黑体" w:hAnsi="黑体"/>
        </w:rPr>
        <w:t xml:space="preserve">  驾驶人</w:t>
      </w:r>
      <w:r>
        <w:rPr>
          <w:rFonts w:ascii="黑体" w:hAnsi="黑体"/>
        </w:rPr>
        <w:t>分析</w:t>
      </w:r>
    </w:p>
    <w:p>
      <w:pPr>
        <w:tabs>
          <w:tab w:val="left" w:pos="426"/>
        </w:tabs>
        <w:ind w:firstLine="420"/>
      </w:pPr>
      <w:r>
        <w:rPr>
          <w:rFonts w:hint="eastAsia"/>
        </w:rPr>
        <w:t>企业安全监控平台</w:t>
      </w:r>
      <w:r>
        <w:t>应支持根据</w:t>
      </w:r>
      <w:r>
        <w:rPr>
          <w:rFonts w:hint="eastAsia"/>
        </w:rPr>
        <w:t>驾驶人</w:t>
      </w:r>
      <w:r>
        <w:t>相关驾驶行为数据、百公里</w:t>
      </w:r>
      <w:r>
        <w:rPr>
          <w:rFonts w:hint="eastAsia"/>
        </w:rPr>
        <w:t>报警</w:t>
      </w:r>
      <w:r>
        <w:t>数据对</w:t>
      </w:r>
      <w:r>
        <w:rPr>
          <w:rFonts w:hint="eastAsia"/>
        </w:rPr>
        <w:t>驾驶人</w:t>
      </w:r>
      <w:r>
        <w:t>驾驶行为进行综合分析及评价的功能，平台应能够按照</w:t>
      </w:r>
      <w:r>
        <w:rPr>
          <w:rFonts w:hint="eastAsia"/>
        </w:rPr>
        <w:t>相应</w:t>
      </w:r>
      <w:r>
        <w:t>指标对</w:t>
      </w:r>
      <w:r>
        <w:rPr>
          <w:rFonts w:hint="eastAsia"/>
        </w:rPr>
        <w:t>驾驶人</w:t>
      </w:r>
      <w:r>
        <w:t>驾驶行为进行周期性评分，</w:t>
      </w:r>
      <w:r>
        <w:rPr>
          <w:rFonts w:hint="eastAsia"/>
        </w:rPr>
        <w:t>评分</w:t>
      </w:r>
      <w:r>
        <w:t>结果应能</w:t>
      </w:r>
      <w:r>
        <w:rPr>
          <w:rFonts w:hint="eastAsia"/>
        </w:rPr>
        <w:t>保存</w:t>
      </w:r>
      <w:r>
        <w:t>到</w:t>
      </w:r>
      <w:r>
        <w:rPr>
          <w:rFonts w:hint="eastAsia"/>
        </w:rPr>
        <w:t>驾驶人档案库</w:t>
      </w:r>
      <w:r>
        <w:t>中</w:t>
      </w:r>
      <w:r>
        <w:rPr>
          <w:rFonts w:hint="eastAsia"/>
        </w:rPr>
        <w:t>，</w:t>
      </w:r>
      <w:r>
        <w:t>平台用户可按照不同标准对</w:t>
      </w:r>
      <w:r>
        <w:rPr>
          <w:rFonts w:hint="eastAsia"/>
        </w:rPr>
        <w:t>驾驶人</w:t>
      </w:r>
      <w:r>
        <w:t>评分</w:t>
      </w:r>
      <w:r>
        <w:rPr>
          <w:rFonts w:hint="eastAsia"/>
        </w:rPr>
        <w:t>进行排序</w:t>
      </w:r>
      <w:r>
        <w:t>、</w:t>
      </w:r>
      <w:r>
        <w:rPr>
          <w:rFonts w:hint="eastAsia"/>
        </w:rPr>
        <w:t>筛选操作</w:t>
      </w:r>
      <w:r>
        <w:t>。</w:t>
      </w:r>
    </w:p>
    <w:p>
      <w:pPr>
        <w:pStyle w:val="4"/>
        <w:numPr>
          <w:ilvl w:val="2"/>
          <w:numId w:val="1"/>
        </w:numPr>
        <w:spacing w:before="156" w:after="156"/>
        <w:ind w:left="851" w:hanging="851"/>
        <w:rPr>
          <w:rFonts w:ascii="黑体" w:hAnsi="黑体"/>
        </w:rPr>
      </w:pPr>
      <w:r>
        <w:rPr>
          <w:rFonts w:hint="eastAsia" w:ascii="黑体" w:hAnsi="黑体"/>
        </w:rPr>
        <w:t xml:space="preserve">  车辆终端信息管理</w:t>
      </w:r>
      <w:bookmarkEnd w:id="40"/>
    </w:p>
    <w:p>
      <w:pPr>
        <w:ind w:firstLine="420"/>
        <w:rPr>
          <w:rFonts w:ascii="宋体" w:hAnsi="宋体"/>
        </w:rPr>
      </w:pPr>
      <w:r>
        <w:rPr>
          <w:rFonts w:hint="eastAsia" w:ascii="宋体" w:hAnsi="宋体"/>
        </w:rPr>
        <w:t>企业安全监控平台应当支持对主动安全智能防控</w:t>
      </w:r>
      <w:r>
        <w:rPr>
          <w:rFonts w:ascii="宋体" w:hAnsi="宋体"/>
        </w:rPr>
        <w:t>终端</w:t>
      </w:r>
      <w:r>
        <w:rPr>
          <w:rFonts w:hint="eastAsia" w:ascii="宋体" w:hAnsi="宋体"/>
        </w:rPr>
        <w:t>安装信息的管理。所有入网车辆所安装的主动安全智能防控</w:t>
      </w:r>
      <w:r>
        <w:rPr>
          <w:rFonts w:ascii="宋体" w:hAnsi="宋体"/>
        </w:rPr>
        <w:t>终端</w:t>
      </w:r>
      <w:r>
        <w:rPr>
          <w:rFonts w:hint="eastAsia" w:ascii="宋体" w:hAnsi="宋体"/>
        </w:rPr>
        <w:t>品牌及型号应当在企业安全监控平台中详细记录</w:t>
      </w:r>
      <w:r>
        <w:rPr>
          <w:rFonts w:ascii="宋体" w:hAnsi="宋体"/>
        </w:rPr>
        <w:t>。</w:t>
      </w:r>
      <w:r>
        <w:rPr>
          <w:rFonts w:hint="eastAsia" w:ascii="宋体" w:hAnsi="宋体"/>
        </w:rPr>
        <w:t>平台应支持按照车牌号、所安装主动安全智能防控</w:t>
      </w:r>
      <w:r>
        <w:rPr>
          <w:rFonts w:ascii="宋体" w:hAnsi="宋体"/>
        </w:rPr>
        <w:t>终端</w:t>
      </w:r>
      <w:r>
        <w:rPr>
          <w:rFonts w:hint="eastAsia" w:ascii="宋体" w:hAnsi="宋体"/>
        </w:rPr>
        <w:t>的品牌型号等条件查询相关车辆信息，且</w:t>
      </w:r>
      <w:r>
        <w:rPr>
          <w:rFonts w:ascii="宋体" w:hAnsi="宋体"/>
        </w:rPr>
        <w:t>支持</w:t>
      </w:r>
      <w:r>
        <w:rPr>
          <w:rFonts w:hint="eastAsia" w:ascii="宋体" w:hAnsi="宋体"/>
        </w:rPr>
        <w:t>对于车辆安装信息的更新、修改及删除。</w:t>
      </w:r>
    </w:p>
    <w:p>
      <w:pPr>
        <w:pStyle w:val="4"/>
        <w:numPr>
          <w:ilvl w:val="2"/>
          <w:numId w:val="1"/>
        </w:numPr>
        <w:spacing w:before="156" w:after="156"/>
        <w:ind w:left="851" w:hanging="851"/>
        <w:rPr>
          <w:rFonts w:ascii="黑体" w:hAnsi="黑体"/>
        </w:rPr>
      </w:pPr>
      <w:r>
        <w:rPr>
          <w:rFonts w:hint="eastAsia" w:ascii="黑体" w:hAnsi="黑体"/>
        </w:rPr>
        <w:t xml:space="preserve">  </w:t>
      </w:r>
      <w:r>
        <w:rPr>
          <w:rFonts w:ascii="黑体" w:hAnsi="黑体"/>
        </w:rPr>
        <w:t>接收信息与展示</w:t>
      </w:r>
    </w:p>
    <w:p>
      <w:pPr>
        <w:ind w:firstLine="420"/>
      </w:pPr>
      <w:r>
        <w:t>企业安全监控平台应具备接收政府监管平台下发的信息</w:t>
      </w:r>
      <w:r>
        <w:rPr>
          <w:rFonts w:hint="eastAsia"/>
        </w:rPr>
        <w:t>，并能够提示企业管理人员。</w:t>
      </w:r>
    </w:p>
    <w:p>
      <w:pPr>
        <w:pStyle w:val="4"/>
        <w:numPr>
          <w:ilvl w:val="2"/>
          <w:numId w:val="1"/>
        </w:numPr>
        <w:tabs>
          <w:tab w:val="left" w:pos="709"/>
        </w:tabs>
        <w:spacing w:before="156" w:after="156"/>
        <w:ind w:left="210" w:hanging="210" w:hangingChars="100"/>
      </w:pPr>
      <w:r>
        <w:rPr>
          <w:rFonts w:hint="eastAsia"/>
        </w:rPr>
        <w:t xml:space="preserve">  </w:t>
      </w:r>
      <w:r>
        <w:t>终端在线升级</w:t>
      </w:r>
    </w:p>
    <w:p>
      <w:pPr>
        <w:ind w:firstLine="420"/>
      </w:pPr>
      <w:r>
        <w:rPr>
          <w:rFonts w:hint="eastAsia"/>
        </w:rPr>
        <w:t>企业安全监控平台应支持对车载终端的在线升级推送功能，当有车载终端软件升级包时，平台向终端发起在线升级指令，终端根据平台提供的升级包下载地址获取升级包进行自动升级，并在升级成功后向平台发送升级成功指令，平台同时记录升级后的终端软件版本信息。</w:t>
      </w:r>
    </w:p>
    <w:p>
      <w:pPr>
        <w:ind w:firstLine="420"/>
      </w:pPr>
      <w:r>
        <w:rPr>
          <w:rFonts w:hint="eastAsia"/>
        </w:rPr>
        <w:t>平台支持在线升级策略管理，包含单位批次数量、定时升级任务以及选定设备手动升级等功能。</w:t>
      </w:r>
    </w:p>
    <w:p>
      <w:pPr>
        <w:pStyle w:val="4"/>
        <w:numPr>
          <w:ilvl w:val="2"/>
          <w:numId w:val="1"/>
        </w:numPr>
        <w:tabs>
          <w:tab w:val="left" w:pos="709"/>
        </w:tabs>
        <w:spacing w:before="156" w:after="156"/>
        <w:ind w:left="210" w:hanging="210" w:hangingChars="100"/>
      </w:pPr>
      <w:r>
        <w:rPr>
          <w:rFonts w:hint="eastAsia"/>
        </w:rPr>
        <w:t xml:space="preserve">  驾驶人身份验证功能</w:t>
      </w:r>
    </w:p>
    <w:p>
      <w:pPr>
        <w:ind w:firstLine="420"/>
      </w:pPr>
      <w:r>
        <w:rPr>
          <w:rFonts w:hint="eastAsia"/>
        </w:rPr>
        <w:t>企业安全监控平台应支持驾驶人身份验证功能。</w:t>
      </w:r>
    </w:p>
    <w:p>
      <w:pPr>
        <w:ind w:firstLine="420"/>
      </w:pPr>
      <w:r>
        <w:rPr>
          <w:rFonts w:hint="eastAsia"/>
        </w:rPr>
        <w:t>当车载终端上报</w:t>
      </w:r>
      <w:r>
        <w:rPr>
          <w:rFonts w:hint="eastAsia" w:ascii="宋体" w:hAnsi="宋体"/>
        </w:rPr>
        <w:t>驾驶人</w:t>
      </w:r>
      <w:r>
        <w:rPr>
          <w:rFonts w:ascii="宋体" w:hAnsi="宋体"/>
        </w:rPr>
        <w:t>IC</w:t>
      </w:r>
      <w:r>
        <w:rPr>
          <w:rFonts w:hint="eastAsia" w:ascii="宋体" w:hAnsi="宋体"/>
        </w:rPr>
        <w:t>卡异</w:t>
      </w:r>
      <w:r>
        <w:rPr>
          <w:rFonts w:hint="eastAsia"/>
        </w:rPr>
        <w:t>常报警时，平台提醒企业监控人员进行处理。</w:t>
      </w:r>
    </w:p>
    <w:p>
      <w:pPr>
        <w:ind w:firstLine="420"/>
      </w:pPr>
      <w:r>
        <w:rPr>
          <w:rFonts w:hint="eastAsia"/>
        </w:rPr>
        <w:t>当车载终端上报驾驶</w:t>
      </w:r>
      <w:r>
        <w:rPr>
          <w:rFonts w:hint="eastAsia" w:ascii="宋体" w:hAnsi="宋体"/>
        </w:rPr>
        <w:t>人</w:t>
      </w:r>
      <w:r>
        <w:rPr>
          <w:rFonts w:hint="eastAsia"/>
        </w:rPr>
        <w:t>身份信息采集时，平台应根据事件上报的从业资格证编码与驾驶人档案库</w:t>
      </w:r>
      <w:r>
        <w:t>中</w:t>
      </w:r>
      <w:r>
        <w:rPr>
          <w:rFonts w:hint="eastAsia"/>
        </w:rPr>
        <w:t>的从业资格证编码进行比对。当比对不通过时，平台记录一条驾驶人</w:t>
      </w:r>
      <w:r>
        <w:rPr>
          <w:rFonts w:ascii="宋体" w:hAnsi="宋体"/>
        </w:rPr>
        <w:t>IC</w:t>
      </w:r>
      <w:r>
        <w:rPr>
          <w:rFonts w:hint="eastAsia" w:ascii="宋体" w:hAnsi="宋体"/>
        </w:rPr>
        <w:t>卡</w:t>
      </w:r>
      <w:r>
        <w:rPr>
          <w:rFonts w:hint="eastAsia"/>
        </w:rPr>
        <w:t>不匹配的报警信息，同时提醒企业监控人员进行处理。</w:t>
      </w:r>
    </w:p>
    <w:p>
      <w:pPr>
        <w:ind w:firstLine="420"/>
      </w:pPr>
      <w:r>
        <w:rPr>
          <w:rFonts w:hint="eastAsia"/>
        </w:rPr>
        <w:t>当车载终端上报驾驶人身份验证事件时，平台可根据事件上报的驾驶人照片与驾驶人档案库</w:t>
      </w:r>
      <w:r>
        <w:t>中</w:t>
      </w:r>
      <w:r>
        <w:rPr>
          <w:rFonts w:hint="eastAsia"/>
        </w:rPr>
        <w:t>的</w:t>
      </w:r>
      <w:r>
        <w:t>正面照</w:t>
      </w:r>
      <w:r>
        <w:rPr>
          <w:rFonts w:hint="eastAsia"/>
        </w:rPr>
        <w:t>进行人脸比对。当比对不通过时，平台记录一条驾驶人身份不匹配的报警信息，同时提醒企业监控人员进行处理。当上报的驾驶人照片无法识别人脸时，平台提醒企业监控人员进行人工核对。</w:t>
      </w:r>
    </w:p>
    <w:p>
      <w:pPr>
        <w:pStyle w:val="2"/>
        <w:numPr>
          <w:ilvl w:val="0"/>
          <w:numId w:val="1"/>
        </w:numPr>
        <w:spacing w:beforeLines="50" w:afterLines="50"/>
        <w:ind w:left="0" w:firstLine="0"/>
        <w:rPr>
          <w:rFonts w:ascii="黑体" w:hAnsi="黑体" w:eastAsia="黑体"/>
          <w:b w:val="0"/>
          <w:sz w:val="21"/>
          <w:szCs w:val="21"/>
        </w:rPr>
      </w:pPr>
      <w:bookmarkStart w:id="41" w:name="_Toc498008880"/>
      <w:bookmarkStart w:id="42" w:name="_Toc10107"/>
      <w:r>
        <w:rPr>
          <w:rFonts w:hint="eastAsia" w:ascii="黑体" w:hAnsi="黑体" w:eastAsia="黑体"/>
          <w:b w:val="0"/>
          <w:sz w:val="21"/>
          <w:szCs w:val="21"/>
        </w:rPr>
        <w:t xml:space="preserve">  </w:t>
      </w:r>
      <w:bookmarkStart w:id="43" w:name="_Toc520501674"/>
      <w:r>
        <w:rPr>
          <w:rFonts w:ascii="黑体" w:hAnsi="黑体" w:eastAsia="黑体"/>
          <w:b w:val="0"/>
          <w:sz w:val="21"/>
          <w:szCs w:val="21"/>
        </w:rPr>
        <w:t>主动</w:t>
      </w:r>
      <w:r>
        <w:rPr>
          <w:rFonts w:hint="eastAsia" w:ascii="黑体" w:hAnsi="黑体" w:eastAsia="黑体"/>
          <w:b w:val="0"/>
          <w:sz w:val="21"/>
          <w:szCs w:val="21"/>
        </w:rPr>
        <w:t>安全智能防控</w:t>
      </w:r>
      <w:r>
        <w:rPr>
          <w:rFonts w:ascii="黑体" w:hAnsi="黑体" w:eastAsia="黑体"/>
          <w:b w:val="0"/>
          <w:sz w:val="21"/>
          <w:szCs w:val="21"/>
        </w:rPr>
        <w:t>平台性能</w:t>
      </w:r>
      <w:r>
        <w:rPr>
          <w:rFonts w:hint="eastAsia" w:ascii="黑体" w:hAnsi="黑体" w:eastAsia="黑体"/>
          <w:b w:val="0"/>
          <w:sz w:val="21"/>
          <w:szCs w:val="21"/>
        </w:rPr>
        <w:t>与</w:t>
      </w:r>
      <w:r>
        <w:rPr>
          <w:rFonts w:ascii="黑体" w:hAnsi="黑体" w:eastAsia="黑体"/>
          <w:b w:val="0"/>
          <w:sz w:val="21"/>
          <w:szCs w:val="21"/>
        </w:rPr>
        <w:t>技术指标</w:t>
      </w:r>
      <w:bookmarkEnd w:id="41"/>
      <w:bookmarkEnd w:id="42"/>
      <w:bookmarkEnd w:id="43"/>
    </w:p>
    <w:p>
      <w:pPr>
        <w:pStyle w:val="3"/>
        <w:numPr>
          <w:ilvl w:val="1"/>
          <w:numId w:val="1"/>
        </w:numPr>
        <w:spacing w:before="156" w:after="156"/>
        <w:ind w:left="567"/>
        <w:rPr>
          <w:rFonts w:ascii="黑体" w:hAnsi="黑体" w:eastAsia="黑体"/>
          <w:b w:val="0"/>
          <w:sz w:val="21"/>
          <w:szCs w:val="21"/>
        </w:rPr>
      </w:pPr>
      <w:bookmarkStart w:id="44" w:name="_Toc496263458"/>
      <w:r>
        <w:rPr>
          <w:rFonts w:hint="eastAsia" w:ascii="黑体" w:hAnsi="黑体" w:eastAsia="黑体"/>
          <w:b w:val="0"/>
          <w:sz w:val="21"/>
          <w:szCs w:val="21"/>
        </w:rPr>
        <w:t xml:space="preserve">  </w:t>
      </w:r>
      <w:r>
        <w:rPr>
          <w:rFonts w:ascii="黑体" w:hAnsi="黑体" w:eastAsia="黑体"/>
          <w:b w:val="0"/>
          <w:sz w:val="21"/>
          <w:szCs w:val="21"/>
        </w:rPr>
        <w:t>主动</w:t>
      </w:r>
      <w:r>
        <w:rPr>
          <w:rFonts w:hint="eastAsia" w:ascii="黑体" w:hAnsi="黑体" w:eastAsia="黑体"/>
          <w:b w:val="0"/>
          <w:sz w:val="21"/>
          <w:szCs w:val="21"/>
        </w:rPr>
        <w:t>安全智能防控</w:t>
      </w:r>
      <w:r>
        <w:rPr>
          <w:rFonts w:ascii="黑体" w:hAnsi="黑体" w:eastAsia="黑体"/>
          <w:b w:val="0"/>
          <w:sz w:val="21"/>
          <w:szCs w:val="21"/>
        </w:rPr>
        <w:t>平台总体</w:t>
      </w:r>
      <w:r>
        <w:rPr>
          <w:rFonts w:hint="eastAsia" w:ascii="黑体" w:hAnsi="黑体" w:eastAsia="黑体"/>
          <w:b w:val="0"/>
          <w:sz w:val="21"/>
          <w:szCs w:val="21"/>
        </w:rPr>
        <w:t>性能</w:t>
      </w:r>
      <w:bookmarkEnd w:id="44"/>
    </w:p>
    <w:p>
      <w:pPr>
        <w:ind w:firstLine="420"/>
        <w:rPr>
          <w:rFonts w:ascii="宋体" w:hAnsi="宋体"/>
        </w:rPr>
      </w:pPr>
      <w:r>
        <w:rPr>
          <w:rFonts w:ascii="宋体" w:hAnsi="宋体"/>
        </w:rPr>
        <w:t>主动</w:t>
      </w:r>
      <w:r>
        <w:rPr>
          <w:rFonts w:hint="eastAsia" w:ascii="宋体" w:hAnsi="宋体"/>
        </w:rPr>
        <w:t>安全智能防控</w:t>
      </w:r>
      <w:r>
        <w:rPr>
          <w:rFonts w:ascii="宋体" w:hAnsi="宋体"/>
        </w:rPr>
        <w:t>平台</w:t>
      </w:r>
      <w:r>
        <w:rPr>
          <w:rFonts w:hint="eastAsia" w:ascii="宋体" w:hAnsi="宋体"/>
        </w:rPr>
        <w:t>总体性能应至少满足以下要求：</w:t>
      </w:r>
    </w:p>
    <w:p>
      <w:pPr>
        <w:pStyle w:val="44"/>
        <w:numPr>
          <w:ilvl w:val="0"/>
          <w:numId w:val="8"/>
        </w:numPr>
        <w:ind w:firstLineChars="0"/>
        <w:rPr>
          <w:rFonts w:ascii="宋体" w:hAnsi="宋体" w:cs="宋体"/>
        </w:rPr>
      </w:pPr>
      <w:r>
        <w:rPr>
          <w:rFonts w:hint="eastAsia" w:ascii="宋体" w:hAnsi="宋体" w:cs="宋体"/>
        </w:rPr>
        <w:t xml:space="preserve">  支持平台7×24h不间断运行。</w:t>
      </w:r>
    </w:p>
    <w:p>
      <w:pPr>
        <w:pStyle w:val="44"/>
        <w:numPr>
          <w:ilvl w:val="0"/>
          <w:numId w:val="8"/>
        </w:numPr>
        <w:ind w:firstLineChars="0"/>
        <w:rPr>
          <w:rFonts w:ascii="宋体" w:hAnsi="宋体" w:cs="宋体"/>
        </w:rPr>
      </w:pPr>
      <w:r>
        <w:rPr>
          <w:rFonts w:hint="eastAsia" w:ascii="宋体" w:hAnsi="宋体" w:cs="宋体"/>
        </w:rPr>
        <w:t xml:space="preserve">  在没有外部因素影响的情况下，故障恢复时间不超过120min。</w:t>
      </w:r>
    </w:p>
    <w:p>
      <w:pPr>
        <w:pStyle w:val="3"/>
        <w:numPr>
          <w:ilvl w:val="1"/>
          <w:numId w:val="1"/>
        </w:numPr>
        <w:spacing w:before="156" w:after="156"/>
        <w:ind w:left="567"/>
        <w:rPr>
          <w:rFonts w:ascii="黑体" w:hAnsi="黑体" w:eastAsia="黑体"/>
          <w:b w:val="0"/>
          <w:sz w:val="21"/>
          <w:szCs w:val="21"/>
        </w:rPr>
      </w:pPr>
      <w:r>
        <w:rPr>
          <w:rFonts w:hint="eastAsia" w:ascii="黑体" w:hAnsi="黑体" w:eastAsia="黑体"/>
          <w:b w:val="0"/>
          <w:sz w:val="21"/>
          <w:szCs w:val="21"/>
        </w:rPr>
        <w:t xml:space="preserve">  应急</w:t>
      </w:r>
      <w:r>
        <w:rPr>
          <w:rFonts w:ascii="黑体" w:hAnsi="黑体" w:eastAsia="黑体"/>
          <w:b w:val="0"/>
          <w:sz w:val="21"/>
          <w:szCs w:val="21"/>
        </w:rPr>
        <w:t>与报警信息响应时间</w:t>
      </w:r>
    </w:p>
    <w:p>
      <w:pPr>
        <w:ind w:firstLine="420"/>
        <w:rPr>
          <w:rFonts w:ascii="宋体" w:hAnsi="宋体" w:cs="宋体"/>
          <w:color w:val="000000"/>
        </w:rPr>
      </w:pPr>
      <w:r>
        <w:rPr>
          <w:rFonts w:hint="eastAsia" w:ascii="宋体" w:hAnsi="宋体" w:cs="宋体"/>
          <w:color w:val="000000"/>
        </w:rPr>
        <w:t>报警及报警信息处理至少满足以下要求：</w:t>
      </w:r>
    </w:p>
    <w:p>
      <w:pPr>
        <w:pStyle w:val="44"/>
        <w:numPr>
          <w:ilvl w:val="0"/>
          <w:numId w:val="9"/>
        </w:numPr>
        <w:ind w:firstLineChars="0"/>
        <w:rPr>
          <w:rFonts w:ascii="宋体" w:hAnsi="宋体" w:cs="宋体"/>
          <w:color w:val="000000"/>
        </w:rPr>
      </w:pPr>
      <w:r>
        <w:rPr>
          <w:rFonts w:hint="eastAsia" w:ascii="宋体" w:hAnsi="宋体" w:cs="宋体"/>
          <w:color w:val="000000"/>
        </w:rPr>
        <w:t xml:space="preserve">  应急与报警信息响应时间不超过10min。</w:t>
      </w:r>
    </w:p>
    <w:p>
      <w:pPr>
        <w:pStyle w:val="44"/>
        <w:numPr>
          <w:ilvl w:val="0"/>
          <w:numId w:val="9"/>
        </w:numPr>
        <w:ind w:firstLineChars="0"/>
        <w:rPr>
          <w:rFonts w:ascii="宋体" w:hAnsi="宋体" w:cs="宋体"/>
          <w:color w:val="000000"/>
        </w:rPr>
      </w:pPr>
      <w:r>
        <w:rPr>
          <w:rFonts w:hint="eastAsia" w:ascii="宋体" w:hAnsi="宋体" w:cs="宋体"/>
          <w:color w:val="000000"/>
        </w:rPr>
        <w:t xml:space="preserve">  优先保证报警信息及报警处理信息显示。</w:t>
      </w:r>
    </w:p>
    <w:p>
      <w:pPr>
        <w:pStyle w:val="3"/>
        <w:numPr>
          <w:ilvl w:val="1"/>
          <w:numId w:val="1"/>
        </w:numPr>
        <w:spacing w:before="156" w:after="156"/>
        <w:ind w:left="567"/>
        <w:rPr>
          <w:rFonts w:ascii="黑体" w:hAnsi="黑体" w:eastAsia="黑体"/>
          <w:b w:val="0"/>
          <w:sz w:val="21"/>
          <w:szCs w:val="21"/>
        </w:rPr>
      </w:pPr>
      <w:bookmarkStart w:id="45" w:name="_Toc496263459"/>
      <w:r>
        <w:rPr>
          <w:rFonts w:hint="eastAsia" w:ascii="黑体" w:hAnsi="黑体" w:eastAsia="黑体"/>
          <w:b w:val="0"/>
          <w:sz w:val="21"/>
          <w:szCs w:val="21"/>
        </w:rPr>
        <w:t xml:space="preserve">  </w:t>
      </w:r>
      <w:r>
        <w:rPr>
          <w:rFonts w:ascii="黑体" w:hAnsi="黑体" w:eastAsia="黑体"/>
          <w:b w:val="0"/>
          <w:sz w:val="21"/>
          <w:szCs w:val="21"/>
        </w:rPr>
        <w:t>主动</w:t>
      </w:r>
      <w:r>
        <w:rPr>
          <w:rFonts w:hint="eastAsia" w:ascii="黑体" w:hAnsi="黑体" w:eastAsia="黑体"/>
          <w:b w:val="0"/>
          <w:sz w:val="21"/>
          <w:szCs w:val="21"/>
        </w:rPr>
        <w:t>安全智能防控</w:t>
      </w:r>
      <w:r>
        <w:rPr>
          <w:rFonts w:ascii="黑体" w:hAnsi="黑体" w:eastAsia="黑体"/>
          <w:b w:val="0"/>
          <w:sz w:val="21"/>
          <w:szCs w:val="21"/>
        </w:rPr>
        <w:t>平台</w:t>
      </w:r>
      <w:r>
        <w:rPr>
          <w:rFonts w:hint="eastAsia" w:ascii="黑体" w:hAnsi="黑体" w:eastAsia="黑体"/>
          <w:b w:val="0"/>
          <w:sz w:val="21"/>
          <w:szCs w:val="21"/>
        </w:rPr>
        <w:t>车辆</w:t>
      </w:r>
      <w:r>
        <w:rPr>
          <w:rFonts w:ascii="黑体" w:hAnsi="黑体" w:eastAsia="黑体"/>
          <w:b w:val="0"/>
          <w:sz w:val="21"/>
          <w:szCs w:val="21"/>
        </w:rPr>
        <w:t>接入性能</w:t>
      </w:r>
      <w:bookmarkEnd w:id="45"/>
    </w:p>
    <w:p>
      <w:pPr>
        <w:ind w:firstLine="420"/>
        <w:rPr>
          <w:rFonts w:ascii="宋体" w:hAnsi="宋体"/>
        </w:rPr>
      </w:pPr>
      <w:r>
        <w:rPr>
          <w:rFonts w:ascii="宋体" w:hAnsi="宋体"/>
        </w:rPr>
        <w:t>主动</w:t>
      </w:r>
      <w:r>
        <w:rPr>
          <w:rFonts w:hint="eastAsia" w:ascii="宋体" w:hAnsi="宋体"/>
        </w:rPr>
        <w:t>安全智能防控</w:t>
      </w:r>
      <w:r>
        <w:rPr>
          <w:rFonts w:ascii="宋体" w:hAnsi="宋体"/>
        </w:rPr>
        <w:t>平台</w:t>
      </w:r>
      <w:r>
        <w:rPr>
          <w:rFonts w:hint="eastAsia" w:ascii="宋体" w:hAnsi="宋体"/>
        </w:rPr>
        <w:t>车辆接入系统应满足以下要求：</w:t>
      </w:r>
    </w:p>
    <w:p>
      <w:pPr>
        <w:pStyle w:val="44"/>
        <w:numPr>
          <w:ilvl w:val="0"/>
          <w:numId w:val="10"/>
        </w:numPr>
        <w:ind w:firstLineChars="0"/>
        <w:rPr>
          <w:rFonts w:ascii="宋体" w:hAnsi="宋体"/>
        </w:rPr>
      </w:pPr>
      <w:r>
        <w:rPr>
          <w:rFonts w:hint="eastAsia" w:ascii="宋体" w:hAnsi="宋体"/>
        </w:rPr>
        <w:t xml:space="preserve">  具有主动安全报警数据高并发处理能力：平均1000条/s、峰值3000条/s。</w:t>
      </w:r>
    </w:p>
    <w:p>
      <w:pPr>
        <w:pStyle w:val="44"/>
        <w:numPr>
          <w:ilvl w:val="0"/>
          <w:numId w:val="10"/>
        </w:numPr>
        <w:ind w:firstLineChars="0"/>
        <w:rPr>
          <w:rFonts w:ascii="宋体" w:hAnsi="宋体"/>
        </w:rPr>
      </w:pPr>
      <w:r>
        <w:rPr>
          <w:rFonts w:hint="eastAsia" w:ascii="宋体" w:hAnsi="宋体"/>
        </w:rPr>
        <w:t xml:space="preserve">  </w:t>
      </w:r>
      <w:r>
        <w:rPr>
          <w:rFonts w:ascii="宋体" w:hAnsi="宋体"/>
        </w:rPr>
        <w:t>企业安全监控平台能支持至少</w:t>
      </w:r>
      <w:r>
        <w:rPr>
          <w:rFonts w:hint="eastAsia" w:ascii="宋体" w:hAnsi="宋体"/>
        </w:rPr>
        <w:t>10</w:t>
      </w:r>
      <w:r>
        <w:rPr>
          <w:rFonts w:ascii="宋体" w:hAnsi="宋体"/>
        </w:rPr>
        <w:t>，</w:t>
      </w:r>
      <w:r>
        <w:rPr>
          <w:rFonts w:hint="eastAsia" w:ascii="宋体" w:hAnsi="宋体"/>
        </w:rPr>
        <w:t>000台主动安全智能防控</w:t>
      </w:r>
      <w:r>
        <w:rPr>
          <w:rFonts w:ascii="宋体" w:hAnsi="宋体"/>
        </w:rPr>
        <w:t>终端</w:t>
      </w:r>
      <w:r>
        <w:rPr>
          <w:rFonts w:hint="eastAsia" w:ascii="宋体" w:hAnsi="宋体"/>
        </w:rPr>
        <w:t>接入。</w:t>
      </w:r>
    </w:p>
    <w:p>
      <w:pPr>
        <w:pStyle w:val="44"/>
        <w:numPr>
          <w:ilvl w:val="0"/>
          <w:numId w:val="10"/>
        </w:numPr>
        <w:ind w:firstLineChars="0"/>
        <w:rPr>
          <w:rFonts w:ascii="宋体" w:hAnsi="宋体"/>
        </w:rPr>
      </w:pPr>
      <w:r>
        <w:rPr>
          <w:rFonts w:hint="eastAsia" w:ascii="宋体" w:hAnsi="宋体"/>
        </w:rPr>
        <w:t xml:space="preserve">  </w:t>
      </w:r>
      <w:r>
        <w:rPr>
          <w:rFonts w:ascii="宋体" w:hAnsi="宋体"/>
        </w:rPr>
        <w:t>政府安全监管平台能支持至少</w:t>
      </w:r>
      <w:r>
        <w:rPr>
          <w:rFonts w:hint="eastAsia" w:ascii="宋体" w:hAnsi="宋体"/>
        </w:rPr>
        <w:t>100，000台主动安全智能防控</w:t>
      </w:r>
      <w:r>
        <w:rPr>
          <w:rFonts w:ascii="宋体" w:hAnsi="宋体"/>
        </w:rPr>
        <w:t>终端</w:t>
      </w:r>
      <w:r>
        <w:rPr>
          <w:rFonts w:hint="eastAsia" w:ascii="宋体" w:hAnsi="宋体"/>
        </w:rPr>
        <w:t>接入。</w:t>
      </w:r>
    </w:p>
    <w:p>
      <w:pPr>
        <w:pStyle w:val="3"/>
        <w:numPr>
          <w:ilvl w:val="1"/>
          <w:numId w:val="1"/>
        </w:numPr>
        <w:spacing w:before="156" w:after="156"/>
        <w:ind w:left="567"/>
        <w:rPr>
          <w:rFonts w:ascii="黑体" w:hAnsi="黑体" w:eastAsia="黑体"/>
          <w:b w:val="0"/>
          <w:sz w:val="21"/>
          <w:szCs w:val="21"/>
        </w:rPr>
      </w:pPr>
      <w:bookmarkStart w:id="46" w:name="_Toc496263461"/>
      <w:r>
        <w:rPr>
          <w:rFonts w:hint="eastAsia" w:ascii="黑体" w:hAnsi="黑体" w:eastAsia="黑体"/>
          <w:b w:val="0"/>
          <w:sz w:val="21"/>
          <w:szCs w:val="21"/>
        </w:rPr>
        <w:t xml:space="preserve">  </w:t>
      </w:r>
      <w:r>
        <w:rPr>
          <w:rFonts w:ascii="黑体" w:hAnsi="黑体" w:eastAsia="黑体"/>
          <w:b w:val="0"/>
          <w:sz w:val="21"/>
          <w:szCs w:val="21"/>
        </w:rPr>
        <w:t>主动</w:t>
      </w:r>
      <w:r>
        <w:rPr>
          <w:rFonts w:hint="eastAsia" w:ascii="黑体" w:hAnsi="黑体" w:eastAsia="黑体"/>
          <w:b w:val="0"/>
          <w:sz w:val="21"/>
          <w:szCs w:val="21"/>
        </w:rPr>
        <w:t>安全智能防控</w:t>
      </w:r>
      <w:r>
        <w:rPr>
          <w:rFonts w:ascii="黑体" w:hAnsi="黑体" w:eastAsia="黑体"/>
          <w:b w:val="0"/>
          <w:sz w:val="21"/>
          <w:szCs w:val="21"/>
        </w:rPr>
        <w:t>平台响应时间</w:t>
      </w:r>
      <w:bookmarkEnd w:id="46"/>
    </w:p>
    <w:p>
      <w:pPr>
        <w:ind w:firstLine="420"/>
        <w:rPr>
          <w:rFonts w:ascii="宋体" w:hAnsi="宋体"/>
        </w:rPr>
      </w:pPr>
      <w:r>
        <w:rPr>
          <w:rFonts w:hint="eastAsia" w:ascii="宋体" w:hAnsi="宋体"/>
        </w:rPr>
        <w:t>最大并发用户数达到其系统设计要求时，各事</w:t>
      </w:r>
      <w:r>
        <w:rPr>
          <w:rFonts w:ascii="宋体" w:hAnsi="宋体"/>
        </w:rPr>
        <w:t>务</w:t>
      </w:r>
      <w:r>
        <w:rPr>
          <w:rFonts w:hint="eastAsia" w:ascii="宋体" w:hAnsi="宋体"/>
        </w:rPr>
        <w:t>平均响应时间不应超过单用户平均响应时间的5倍。</w:t>
      </w:r>
    </w:p>
    <w:p>
      <w:pPr>
        <w:pStyle w:val="3"/>
        <w:numPr>
          <w:ilvl w:val="1"/>
          <w:numId w:val="1"/>
        </w:numPr>
        <w:spacing w:before="156" w:after="156"/>
        <w:ind w:left="567"/>
        <w:rPr>
          <w:rFonts w:ascii="黑体" w:hAnsi="黑体" w:eastAsia="黑体"/>
          <w:b w:val="0"/>
          <w:sz w:val="21"/>
          <w:szCs w:val="21"/>
        </w:rPr>
      </w:pPr>
      <w:bookmarkStart w:id="47" w:name="_Toc496263464"/>
      <w:r>
        <w:rPr>
          <w:rFonts w:hint="eastAsia" w:ascii="黑体" w:hAnsi="黑体" w:eastAsia="黑体"/>
          <w:b w:val="0"/>
          <w:sz w:val="21"/>
          <w:szCs w:val="21"/>
        </w:rPr>
        <w:t xml:space="preserve">  网络</w:t>
      </w:r>
      <w:r>
        <w:rPr>
          <w:rFonts w:ascii="黑体" w:hAnsi="黑体" w:eastAsia="黑体"/>
          <w:b w:val="0"/>
          <w:sz w:val="21"/>
          <w:szCs w:val="21"/>
        </w:rPr>
        <w:t>传输</w:t>
      </w:r>
      <w:bookmarkEnd w:id="47"/>
    </w:p>
    <w:p>
      <w:pPr>
        <w:ind w:firstLine="420"/>
        <w:rPr>
          <w:rFonts w:ascii="宋体" w:hAnsi="宋体"/>
        </w:rPr>
      </w:pPr>
      <w:r>
        <w:rPr>
          <w:rFonts w:hint="eastAsia" w:ascii="宋体" w:hAnsi="宋体"/>
        </w:rPr>
        <w:t>网络传输环境应满足以下要求：</w:t>
      </w:r>
    </w:p>
    <w:p>
      <w:pPr>
        <w:pStyle w:val="44"/>
        <w:numPr>
          <w:ilvl w:val="0"/>
          <w:numId w:val="11"/>
        </w:numPr>
        <w:ind w:firstLineChars="0"/>
        <w:rPr>
          <w:rFonts w:ascii="宋体" w:hAnsi="宋体"/>
        </w:rPr>
      </w:pPr>
      <w:r>
        <w:rPr>
          <w:rFonts w:hint="eastAsia" w:ascii="宋体" w:hAnsi="宋体"/>
        </w:rPr>
        <w:t xml:space="preserve">  政府安全监管平台之间支持专线网络或互联网VPN连接。</w:t>
      </w:r>
    </w:p>
    <w:p>
      <w:pPr>
        <w:pStyle w:val="44"/>
        <w:numPr>
          <w:ilvl w:val="0"/>
          <w:numId w:val="11"/>
        </w:numPr>
        <w:ind w:firstLineChars="0"/>
        <w:rPr>
          <w:rFonts w:ascii="宋体" w:hAnsi="宋体"/>
        </w:rPr>
      </w:pPr>
      <w:r>
        <w:rPr>
          <w:rFonts w:hint="eastAsia" w:ascii="宋体" w:hAnsi="宋体"/>
        </w:rPr>
        <w:t xml:space="preserve">  企业安全监控平台支持互联网或专线网络等方式连接政府安全监管平台。</w:t>
      </w:r>
    </w:p>
    <w:p>
      <w:pPr>
        <w:pStyle w:val="3"/>
        <w:numPr>
          <w:ilvl w:val="1"/>
          <w:numId w:val="1"/>
        </w:numPr>
        <w:spacing w:before="156" w:after="156"/>
        <w:ind w:left="567"/>
        <w:rPr>
          <w:rFonts w:ascii="黑体" w:hAnsi="黑体" w:eastAsia="黑体"/>
          <w:b w:val="0"/>
          <w:sz w:val="21"/>
          <w:szCs w:val="21"/>
        </w:rPr>
      </w:pPr>
      <w:bookmarkStart w:id="48" w:name="_Toc496263465"/>
      <w:r>
        <w:rPr>
          <w:rFonts w:hint="eastAsia" w:ascii="黑体" w:hAnsi="黑体" w:eastAsia="黑体"/>
          <w:b w:val="0"/>
          <w:sz w:val="21"/>
          <w:szCs w:val="21"/>
        </w:rPr>
        <w:t xml:space="preserve">  报警数据</w:t>
      </w:r>
      <w:r>
        <w:rPr>
          <w:rFonts w:ascii="黑体" w:hAnsi="黑体" w:eastAsia="黑体"/>
          <w:b w:val="0"/>
          <w:sz w:val="21"/>
          <w:szCs w:val="21"/>
        </w:rPr>
        <w:t>存储</w:t>
      </w:r>
      <w:bookmarkEnd w:id="48"/>
    </w:p>
    <w:p>
      <w:pPr>
        <w:ind w:firstLine="420"/>
        <w:rPr>
          <w:rFonts w:ascii="宋体" w:hAnsi="宋体"/>
        </w:rPr>
      </w:pPr>
      <w:r>
        <w:rPr>
          <w:rFonts w:hint="eastAsia" w:ascii="宋体" w:hAnsi="宋体"/>
        </w:rPr>
        <w:t>主动安全智能防控相关数据存储及备份要求如下：</w:t>
      </w:r>
    </w:p>
    <w:p>
      <w:pPr>
        <w:pStyle w:val="44"/>
        <w:numPr>
          <w:ilvl w:val="0"/>
          <w:numId w:val="12"/>
        </w:numPr>
        <w:ind w:firstLineChars="0"/>
        <w:rPr>
          <w:rFonts w:ascii="宋体" w:hAnsi="宋体"/>
        </w:rPr>
      </w:pPr>
      <w:r>
        <w:rPr>
          <w:rFonts w:hint="eastAsia" w:ascii="宋体" w:hAnsi="宋体"/>
        </w:rPr>
        <w:t xml:space="preserve">  报警信息数据存储时间不得少于183天。</w:t>
      </w:r>
    </w:p>
    <w:p>
      <w:pPr>
        <w:pStyle w:val="44"/>
        <w:numPr>
          <w:ilvl w:val="0"/>
          <w:numId w:val="12"/>
        </w:numPr>
        <w:ind w:firstLineChars="0"/>
        <w:rPr>
          <w:rFonts w:ascii="宋体" w:hAnsi="宋体"/>
        </w:rPr>
      </w:pPr>
      <w:r>
        <w:rPr>
          <w:rFonts w:hint="eastAsia" w:ascii="宋体" w:hAnsi="宋体"/>
        </w:rPr>
        <w:t xml:space="preserve">  </w:t>
      </w:r>
      <w:r>
        <w:rPr>
          <w:rFonts w:ascii="宋体" w:hAnsi="宋体"/>
        </w:rPr>
        <w:t>报警多媒体附件数据存储时间不得小于60</w:t>
      </w:r>
      <w:r>
        <w:rPr>
          <w:rFonts w:hint="eastAsia" w:ascii="宋体" w:hAnsi="宋体"/>
        </w:rPr>
        <w:t>天。</w:t>
      </w:r>
    </w:p>
    <w:p>
      <w:pPr>
        <w:pStyle w:val="44"/>
        <w:numPr>
          <w:ilvl w:val="0"/>
          <w:numId w:val="12"/>
        </w:numPr>
        <w:ind w:firstLineChars="0"/>
        <w:rPr>
          <w:rFonts w:ascii="宋体" w:hAnsi="宋体"/>
        </w:rPr>
      </w:pPr>
      <w:r>
        <w:rPr>
          <w:rFonts w:hint="eastAsia" w:ascii="宋体" w:hAnsi="宋体"/>
        </w:rPr>
        <w:t xml:space="preserve">  </w:t>
      </w:r>
      <w:r>
        <w:rPr>
          <w:rFonts w:ascii="宋体" w:hAnsi="宋体"/>
        </w:rPr>
        <w:t>政府安全监管平台离线保存的报警多媒体数据</w:t>
      </w:r>
      <w:r>
        <w:rPr>
          <w:rFonts w:hint="eastAsia" w:ascii="宋体" w:hAnsi="宋体"/>
        </w:rPr>
        <w:t>存储</w:t>
      </w:r>
      <w:r>
        <w:rPr>
          <w:rFonts w:ascii="宋体" w:hAnsi="宋体"/>
        </w:rPr>
        <w:t>时间不得小于</w:t>
      </w:r>
      <w:r>
        <w:rPr>
          <w:rFonts w:hint="eastAsia" w:ascii="宋体" w:hAnsi="宋体"/>
        </w:rPr>
        <w:t>365天。</w:t>
      </w:r>
    </w:p>
    <w:p>
      <w:pPr>
        <w:pStyle w:val="44"/>
        <w:numPr>
          <w:ilvl w:val="0"/>
          <w:numId w:val="12"/>
        </w:numPr>
        <w:ind w:firstLineChars="0"/>
        <w:rPr>
          <w:rFonts w:ascii="宋体" w:hAnsi="宋体"/>
        </w:rPr>
      </w:pPr>
      <w:r>
        <w:rPr>
          <w:rFonts w:hint="eastAsia" w:ascii="宋体" w:hAnsi="宋体"/>
        </w:rPr>
        <w:t xml:space="preserve">  建立报警信息数据备份机制，每周对数据进行增量备份，每月对报警信息数据进行全量备份，备份报警数据时间不得小于1年，系统数据恢复时间不超过12h。</w:t>
      </w:r>
    </w:p>
    <w:p>
      <w:pPr>
        <w:pStyle w:val="3"/>
        <w:numPr>
          <w:ilvl w:val="1"/>
          <w:numId w:val="1"/>
        </w:numPr>
        <w:spacing w:before="156" w:after="156"/>
        <w:ind w:left="567"/>
        <w:rPr>
          <w:rFonts w:ascii="黑体" w:hAnsi="黑体" w:eastAsia="黑体"/>
          <w:b w:val="0"/>
          <w:sz w:val="21"/>
          <w:szCs w:val="21"/>
        </w:rPr>
      </w:pPr>
      <w:bookmarkStart w:id="49" w:name="_Toc496263466"/>
      <w:r>
        <w:rPr>
          <w:rFonts w:hint="eastAsia" w:ascii="黑体" w:hAnsi="黑体" w:eastAsia="黑体"/>
          <w:b w:val="0"/>
          <w:sz w:val="21"/>
          <w:szCs w:val="21"/>
        </w:rPr>
        <w:t xml:space="preserve">  安全</w:t>
      </w:r>
      <w:r>
        <w:rPr>
          <w:rFonts w:ascii="黑体" w:hAnsi="黑体" w:eastAsia="黑体"/>
          <w:b w:val="0"/>
          <w:sz w:val="21"/>
          <w:szCs w:val="21"/>
        </w:rPr>
        <w:t>要求</w:t>
      </w:r>
      <w:bookmarkEnd w:id="49"/>
    </w:p>
    <w:p>
      <w:pPr>
        <w:ind w:firstLine="420"/>
        <w:rPr>
          <w:rFonts w:ascii="宋体" w:hAnsi="宋体"/>
        </w:rPr>
      </w:pPr>
      <w:r>
        <w:rPr>
          <w:rFonts w:hint="eastAsia" w:ascii="宋体" w:hAnsi="宋体"/>
        </w:rPr>
        <w:t>平台部署环境安全应满足以下要求：</w:t>
      </w:r>
    </w:p>
    <w:p>
      <w:pPr>
        <w:pStyle w:val="44"/>
        <w:numPr>
          <w:ilvl w:val="0"/>
          <w:numId w:val="13"/>
        </w:numPr>
        <w:ind w:firstLineChars="0"/>
        <w:rPr>
          <w:rFonts w:ascii="宋体" w:hAnsi="宋体"/>
        </w:rPr>
      </w:pPr>
      <w:r>
        <w:rPr>
          <w:rFonts w:hint="eastAsia" w:ascii="宋体" w:hAnsi="宋体"/>
        </w:rPr>
        <w:t xml:space="preserve">  满足GB 17859第3级及以上安全要求。</w:t>
      </w:r>
    </w:p>
    <w:p>
      <w:pPr>
        <w:pStyle w:val="44"/>
        <w:numPr>
          <w:ilvl w:val="0"/>
          <w:numId w:val="13"/>
        </w:numPr>
        <w:ind w:firstLineChars="0"/>
        <w:rPr>
          <w:rFonts w:ascii="宋体" w:hAnsi="宋体"/>
        </w:rPr>
      </w:pPr>
      <w:r>
        <w:rPr>
          <w:rFonts w:hint="eastAsia" w:ascii="宋体" w:hAnsi="宋体"/>
        </w:rPr>
        <w:t xml:space="preserve">  数据库中关键数据加密存储，用户密码加密存储。</w:t>
      </w:r>
    </w:p>
    <w:p>
      <w:pPr>
        <w:pStyle w:val="44"/>
        <w:numPr>
          <w:ilvl w:val="0"/>
          <w:numId w:val="13"/>
        </w:numPr>
        <w:ind w:firstLineChars="0"/>
        <w:rPr>
          <w:rFonts w:ascii="宋体" w:hAnsi="宋体"/>
        </w:rPr>
      </w:pPr>
      <w:r>
        <w:rPr>
          <w:rFonts w:hint="eastAsia" w:ascii="宋体" w:hAnsi="宋体"/>
        </w:rPr>
        <w:t xml:space="preserve">  采用日志对操作和接受及发送的数据记录，至少存储183天日志数据。</w:t>
      </w:r>
    </w:p>
    <w:p>
      <w:pPr>
        <w:pStyle w:val="44"/>
        <w:numPr>
          <w:ilvl w:val="0"/>
          <w:numId w:val="13"/>
        </w:numPr>
        <w:ind w:firstLineChars="0"/>
        <w:rPr>
          <w:rFonts w:ascii="宋体" w:hAnsi="宋体"/>
        </w:rPr>
      </w:pPr>
      <w:r>
        <w:rPr>
          <w:rFonts w:hint="eastAsia" w:ascii="宋体" w:hAnsi="宋体"/>
        </w:rPr>
        <w:t xml:space="preserve">  采用备份平台，主平台出现问题能自动切换到备份平台。</w:t>
      </w:r>
    </w:p>
    <w:p>
      <w:pPr>
        <w:pStyle w:val="44"/>
        <w:numPr>
          <w:ilvl w:val="0"/>
          <w:numId w:val="13"/>
        </w:numPr>
        <w:ind w:firstLineChars="0"/>
        <w:rPr>
          <w:rFonts w:ascii="宋体" w:hAnsi="宋体"/>
        </w:rPr>
      </w:pPr>
      <w:r>
        <w:rPr>
          <w:rFonts w:hint="eastAsia" w:ascii="宋体" w:hAnsi="宋体"/>
        </w:rPr>
        <w:t xml:space="preserve">  平台间数据交换支持加密传输方式，具体要求应符合道路运输车辆卫星定位系统平台数据交换的相关规定。</w:t>
      </w:r>
    </w:p>
    <w:p>
      <w:pPr>
        <w:pStyle w:val="3"/>
        <w:numPr>
          <w:ilvl w:val="1"/>
          <w:numId w:val="1"/>
        </w:numPr>
        <w:spacing w:before="156" w:after="156"/>
        <w:ind w:left="567"/>
        <w:rPr>
          <w:rFonts w:ascii="黑体" w:hAnsi="黑体" w:eastAsia="黑体"/>
          <w:b w:val="0"/>
          <w:sz w:val="21"/>
          <w:szCs w:val="21"/>
        </w:rPr>
      </w:pPr>
      <w:bookmarkStart w:id="50" w:name="_Toc496263467"/>
      <w:r>
        <w:rPr>
          <w:rFonts w:hint="eastAsia" w:ascii="黑体" w:hAnsi="黑体" w:eastAsia="黑体"/>
          <w:b w:val="0"/>
          <w:sz w:val="21"/>
          <w:szCs w:val="21"/>
        </w:rPr>
        <w:t xml:space="preserve">  </w:t>
      </w:r>
      <w:r>
        <w:rPr>
          <w:rFonts w:ascii="黑体" w:hAnsi="黑体" w:eastAsia="黑体"/>
          <w:b w:val="0"/>
          <w:sz w:val="21"/>
          <w:szCs w:val="21"/>
        </w:rPr>
        <w:t>主动</w:t>
      </w:r>
      <w:r>
        <w:rPr>
          <w:rFonts w:hint="eastAsia" w:ascii="黑体" w:hAnsi="黑体" w:eastAsia="黑体"/>
          <w:b w:val="0"/>
          <w:sz w:val="21"/>
          <w:szCs w:val="21"/>
        </w:rPr>
        <w:t>安全智能防控</w:t>
      </w:r>
      <w:r>
        <w:rPr>
          <w:rFonts w:ascii="黑体" w:hAnsi="黑体" w:eastAsia="黑体"/>
          <w:b w:val="0"/>
          <w:sz w:val="21"/>
          <w:szCs w:val="21"/>
        </w:rPr>
        <w:t>平台运行环境</w:t>
      </w:r>
      <w:bookmarkEnd w:id="50"/>
    </w:p>
    <w:p>
      <w:pPr>
        <w:ind w:firstLine="420"/>
        <w:rPr>
          <w:rFonts w:ascii="宋体" w:hAnsi="宋体"/>
        </w:rPr>
      </w:pPr>
      <w:r>
        <w:rPr>
          <w:rFonts w:hint="eastAsia" w:ascii="宋体" w:hAnsi="宋体"/>
        </w:rPr>
        <w:t>运行环境应满足以下要求：</w:t>
      </w:r>
    </w:p>
    <w:p>
      <w:pPr>
        <w:pStyle w:val="44"/>
        <w:numPr>
          <w:ilvl w:val="0"/>
          <w:numId w:val="14"/>
        </w:numPr>
        <w:ind w:firstLineChars="0"/>
        <w:rPr>
          <w:rFonts w:ascii="宋体" w:hAnsi="宋体"/>
        </w:rPr>
      </w:pPr>
      <w:r>
        <w:rPr>
          <w:rFonts w:hint="eastAsia" w:ascii="宋体" w:hAnsi="宋体"/>
        </w:rPr>
        <w:t xml:space="preserve">  通信网关、应用服务器和数据库服务器独立部署。</w:t>
      </w:r>
    </w:p>
    <w:p>
      <w:pPr>
        <w:pStyle w:val="44"/>
        <w:numPr>
          <w:ilvl w:val="0"/>
          <w:numId w:val="14"/>
        </w:numPr>
        <w:ind w:firstLineChars="0"/>
        <w:rPr>
          <w:rFonts w:ascii="宋体" w:hAnsi="宋体"/>
        </w:rPr>
      </w:pPr>
      <w:r>
        <w:rPr>
          <w:rFonts w:hint="eastAsia" w:ascii="宋体" w:hAnsi="宋体"/>
        </w:rPr>
        <w:t xml:space="preserve">  数据库服务器能支持大数据量存储与检索。</w:t>
      </w:r>
    </w:p>
    <w:p>
      <w:pPr>
        <w:pStyle w:val="44"/>
        <w:numPr>
          <w:ilvl w:val="0"/>
          <w:numId w:val="14"/>
        </w:numPr>
        <w:ind w:firstLineChars="0"/>
        <w:rPr>
          <w:rFonts w:ascii="宋体" w:hAnsi="宋体"/>
        </w:rPr>
      </w:pPr>
      <w:r>
        <w:rPr>
          <w:rFonts w:hint="eastAsia" w:ascii="宋体" w:hAnsi="宋体"/>
        </w:rPr>
        <w:t xml:space="preserve">  局域网网络数据交换速度应不低于</w:t>
      </w:r>
      <w:r>
        <w:rPr>
          <w:rFonts w:ascii="宋体" w:hAnsi="宋体"/>
        </w:rPr>
        <w:t>1G</w:t>
      </w:r>
      <w:r>
        <w:rPr>
          <w:rFonts w:hint="eastAsia" w:ascii="宋体" w:hAnsi="宋体"/>
        </w:rPr>
        <w:t>bps。</w:t>
      </w:r>
    </w:p>
    <w:p>
      <w:pPr>
        <w:ind w:firstLine="420"/>
      </w:pPr>
      <w:r>
        <w:pict>
          <v:line id="直接连接符 13" o:spid="_x0000_s1027" o:spt="20" style="position:absolute;left:0pt;margin-left:122.8pt;margin-top:20.1pt;height:0pt;width:205.5pt;z-index:251658240;mso-width-relative:page;mso-height-relative:page;" coordsize="21600,21600" o:gfxdata="UEsDBAoAAAAAAIdO4kAAAAAAAAAAAAAAAAAEAAAAZHJzL1BLAwQUAAAACACHTuJAZHWEHNYAAAAJ&#10;AQAADwAAAGRycy9kb3ducmV2LnhtbE2PwU7DMAyG70i8Q+RJ3Fiyauum0nQHJA5ISEDHgWPWem1Z&#10;45Qka8vbY8QBjv796/PnfD/bXozoQ+dIw2qpQCBVru6o0fB2eLjdgQjRUG16R6jhCwPsi+ur3GS1&#10;m+gVxzI2giEUMqOhjXHIpAxVi9aEpRuQeHdy3prIo29k7c3EcNvLRKlUWtMRX2jNgPctVufyYplC&#10;28/T3Pv3l+endldOH/g4blHrm8VK3YGIOMe/MvzoszoU7HR0F6qD6DUk603KVQ1rlYDgQrpJOTj+&#10;BrLI5f8Pim9QSwMEFAAAAAgAh07iQNOIFWPHAQAAZQMAAA4AAABkcnMvZTJvRG9jLnhtbK1TzY7T&#10;MBC+I/EOlu80aVdUJWq6h62WC4JKwANMHTux5D95TNO+BC+AxA1OHLnzNuw+BmO32112b4gcJvH8&#10;fOPvm8nycm8N28mI2ruWTyc1Z9IJ32nXt/zjh+sXC84wgevAeCdbfpDIL1fPny3H0MiZH7zpZGQE&#10;4rAZQ8uHlEJTVSgGaQEnPkhHQeWjhUTH2FddhJHQralmdT2vRh+7EL2QiORdH4N8VfCVkiK9Uwpl&#10;YqbldLdUbCx2m221WkLTRwiDFqdrwD/cwoJ21PQMtYYE7FPUT6CsFtGjV2kivK28UlrIwoHYTOtH&#10;bN4PEGThQuJgOMuE/w9WvN1tItMdzW7KmQNLM7r58vP352+3v76SvfnxnU0vskxjwIayr9wmnk4Y&#10;NjFz3qto85vYsH2R9nCWVu4TE+SczetXi5c0AXEXq+4LQ8T0WnrL8kfLjXaZNTSwe4OJmlHqXUp2&#10;O3+tjSmTM46NLZ9fFGSg/VEGEjWxgRih6zkD09NiihQLInqju1ydcTD22ysT2Q7ycpQnE6Vuf6Xl&#10;1mvA4ZhXQse1sTrR7hptW754WG0cgWS5jgLlr63vDkW34qdZljanvcvL8vBcqu//jt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HWEHNYAAAAJAQAADwAAAAAAAAABACAAAAAiAAAAZHJzL2Rvd25y&#10;ZXYueG1sUEsBAhQAFAAAAAgAh07iQNOIFWPHAQAAZQMAAA4AAAAAAAAAAQAgAAAAJQEAAGRycy9l&#10;Mm9Eb2MueG1sUEsFBgAAAAAGAAYAWQEAAF4FAAAAAA==&#10;">
            <v:path arrowok="t"/>
            <v:fill focussize="0,0"/>
            <v:stroke weight="0.5pt" joinstyle="miter"/>
            <v:imagedata o:title=""/>
            <o:lock v:ext="edit"/>
          </v:line>
        </w:pict>
      </w:r>
    </w:p>
    <w:sectPr>
      <w:pgSz w:w="11906" w:h="16838"/>
      <w:pgMar w:top="1418" w:right="1134" w:bottom="1418" w:left="1418" w:header="567" w:footer="567"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21313187"/>
      <w:docPartObj>
        <w:docPartGallery w:val="autotext"/>
      </w:docPartObj>
    </w:sdtPr>
    <w:sdtContent>
      <w:p>
        <w:pPr>
          <w:pStyle w:val="17"/>
          <w:ind w:firstLine="360"/>
          <w:jc w:val="right"/>
        </w:pPr>
        <w:r>
          <w:fldChar w:fldCharType="begin"/>
        </w:r>
        <w:r>
          <w:instrText xml:space="preserve">PAGE   \* MERGEFORMAT</w:instrText>
        </w:r>
        <w:r>
          <w:fldChar w:fldCharType="separate"/>
        </w:r>
        <w:r>
          <w:rPr>
            <w:lang w:val="zh-CN"/>
          </w:rPr>
          <w:t>9</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29486511"/>
      <w:docPartObj>
        <w:docPartGallery w:val="autotext"/>
      </w:docPartObj>
    </w:sdtPr>
    <w:sdtContent>
      <w:p>
        <w:pPr>
          <w:pStyle w:val="17"/>
          <w:ind w:firstLine="0" w:firstLineChars="0"/>
        </w:pPr>
        <w:r>
          <w:fldChar w:fldCharType="begin"/>
        </w:r>
        <w:r>
          <w:instrText xml:space="preserve">PAGE   \* MERGEFORMAT</w:instrText>
        </w:r>
        <w:r>
          <w:fldChar w:fldCharType="separate"/>
        </w:r>
        <w:r>
          <w:rPr>
            <w:lang w:val="zh-CN"/>
          </w:rPr>
          <w:t>10</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8117485"/>
      <w:docPartObj>
        <w:docPartGallery w:val="autotext"/>
      </w:docPartObj>
    </w:sdtPr>
    <w:sdtContent>
      <w:p>
        <w:pPr>
          <w:pStyle w:val="17"/>
          <w:ind w:firstLine="360"/>
          <w:jc w:val="right"/>
        </w:pPr>
        <w:r>
          <w:fldChar w:fldCharType="begin"/>
        </w:r>
        <w:r>
          <w:instrText xml:space="preserve">PAGE   \* MERGEFORMAT</w:instrText>
        </w:r>
        <w:r>
          <w:fldChar w:fldCharType="separate"/>
        </w:r>
        <w:r>
          <w:rPr>
            <w:lang w:val="zh-CN"/>
          </w:rPr>
          <w:t>I</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94BBE"/>
    <w:multiLevelType w:val="multilevel"/>
    <w:tmpl w:val="0C194BBE"/>
    <w:lvl w:ilvl="0" w:tentative="0">
      <w:start w:val="1"/>
      <w:numFmt w:val="lowerLetter"/>
      <w:suff w:val="nothing"/>
      <w:lvlText w:val="%1)"/>
      <w:lvlJc w:val="left"/>
      <w:pPr>
        <w:ind w:left="840" w:hanging="420"/>
      </w:pPr>
      <w:rPr>
        <w:rFonts w:hint="eastAsia" w:ascii="黑体" w:hAnsi="黑体" w:eastAsia="黑体"/>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
    <w:nsid w:val="11797E76"/>
    <w:multiLevelType w:val="multilevel"/>
    <w:tmpl w:val="11797E76"/>
    <w:lvl w:ilvl="0" w:tentative="0">
      <w:start w:val="1"/>
      <w:numFmt w:val="lowerLetter"/>
      <w:suff w:val="nothing"/>
      <w:lvlText w:val="%1)"/>
      <w:lvlJc w:val="left"/>
      <w:pPr>
        <w:ind w:left="840" w:hanging="420"/>
      </w:pPr>
      <w:rPr>
        <w:rFonts w:hint="eastAsia" w:ascii="黑体" w:hAnsi="黑体" w:eastAsia="黑体"/>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
    <w:nsid w:val="1C4F323E"/>
    <w:multiLevelType w:val="multilevel"/>
    <w:tmpl w:val="1C4F323E"/>
    <w:lvl w:ilvl="0" w:tentative="0">
      <w:start w:val="1"/>
      <w:numFmt w:val="lowerLetter"/>
      <w:suff w:val="nothing"/>
      <w:lvlText w:val="%1)"/>
      <w:lvlJc w:val="left"/>
      <w:pPr>
        <w:ind w:left="780" w:hanging="360"/>
      </w:pPr>
      <w:rPr>
        <w:rFonts w:hint="default" w:ascii="黑体" w:hAnsi="黑体" w:eastAsia="黑体" w:cs="Calibri"/>
      </w:rPr>
    </w:lvl>
    <w:lvl w:ilvl="1" w:tentative="0">
      <w:start w:val="1"/>
      <w:numFmt w:val="lowerLetter"/>
      <w:lvlText w:val="%2)"/>
      <w:lvlJc w:val="left"/>
      <w:pPr>
        <w:ind w:left="1380" w:hanging="480"/>
      </w:pPr>
      <w:rPr>
        <w:rFonts w:hint="eastAsia"/>
      </w:rPr>
    </w:lvl>
    <w:lvl w:ilvl="2" w:tentative="0">
      <w:start w:val="1"/>
      <w:numFmt w:val="lowerRoman"/>
      <w:lvlText w:val="%3."/>
      <w:lvlJc w:val="right"/>
      <w:pPr>
        <w:ind w:left="1860" w:hanging="480"/>
      </w:pPr>
      <w:rPr>
        <w:rFonts w:hint="eastAsia"/>
      </w:rPr>
    </w:lvl>
    <w:lvl w:ilvl="3" w:tentative="0">
      <w:start w:val="1"/>
      <w:numFmt w:val="decimal"/>
      <w:lvlText w:val="%4."/>
      <w:lvlJc w:val="left"/>
      <w:pPr>
        <w:ind w:left="2340" w:hanging="480"/>
      </w:pPr>
      <w:rPr>
        <w:rFonts w:hint="eastAsia"/>
      </w:rPr>
    </w:lvl>
    <w:lvl w:ilvl="4" w:tentative="0">
      <w:start w:val="1"/>
      <w:numFmt w:val="lowerLetter"/>
      <w:lvlText w:val="%5)"/>
      <w:lvlJc w:val="left"/>
      <w:pPr>
        <w:ind w:left="2820" w:hanging="480"/>
      </w:pPr>
      <w:rPr>
        <w:rFonts w:hint="eastAsia"/>
      </w:rPr>
    </w:lvl>
    <w:lvl w:ilvl="5" w:tentative="0">
      <w:start w:val="1"/>
      <w:numFmt w:val="lowerRoman"/>
      <w:lvlText w:val="%6."/>
      <w:lvlJc w:val="right"/>
      <w:pPr>
        <w:ind w:left="3300" w:hanging="480"/>
      </w:pPr>
      <w:rPr>
        <w:rFonts w:hint="eastAsia"/>
      </w:rPr>
    </w:lvl>
    <w:lvl w:ilvl="6" w:tentative="0">
      <w:start w:val="1"/>
      <w:numFmt w:val="decimal"/>
      <w:lvlText w:val="%7."/>
      <w:lvlJc w:val="left"/>
      <w:pPr>
        <w:ind w:left="3780" w:hanging="480"/>
      </w:pPr>
      <w:rPr>
        <w:rFonts w:hint="eastAsia"/>
      </w:rPr>
    </w:lvl>
    <w:lvl w:ilvl="7" w:tentative="0">
      <w:start w:val="1"/>
      <w:numFmt w:val="lowerLetter"/>
      <w:lvlText w:val="%8)"/>
      <w:lvlJc w:val="left"/>
      <w:pPr>
        <w:ind w:left="4260" w:hanging="480"/>
      </w:pPr>
      <w:rPr>
        <w:rFonts w:hint="eastAsia"/>
      </w:rPr>
    </w:lvl>
    <w:lvl w:ilvl="8" w:tentative="0">
      <w:start w:val="1"/>
      <w:numFmt w:val="lowerRoman"/>
      <w:lvlText w:val="%9."/>
      <w:lvlJc w:val="right"/>
      <w:pPr>
        <w:ind w:left="4740" w:hanging="480"/>
      </w:pPr>
      <w:rPr>
        <w:rFonts w:hint="eastAsia"/>
      </w:rPr>
    </w:lvl>
  </w:abstractNum>
  <w:abstractNum w:abstractNumId="3">
    <w:nsid w:val="1DC12688"/>
    <w:multiLevelType w:val="multilevel"/>
    <w:tmpl w:val="1DC12688"/>
    <w:lvl w:ilvl="0" w:tentative="0">
      <w:start w:val="1"/>
      <w:numFmt w:val="lowerLetter"/>
      <w:suff w:val="nothing"/>
      <w:lvlText w:val="%1)"/>
      <w:lvlJc w:val="left"/>
      <w:pPr>
        <w:ind w:left="780" w:hanging="360"/>
      </w:pPr>
      <w:rPr>
        <w:rFonts w:hint="default" w:ascii="黑体" w:hAnsi="黑体" w:eastAsia="黑体"/>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
    <w:nsid w:val="1EB52B90"/>
    <w:multiLevelType w:val="multilevel"/>
    <w:tmpl w:val="1EB52B90"/>
    <w:lvl w:ilvl="0" w:tentative="0">
      <w:start w:val="1"/>
      <w:numFmt w:val="lowerLetter"/>
      <w:suff w:val="nothing"/>
      <w:lvlText w:val="%1)"/>
      <w:lvlJc w:val="left"/>
      <w:pPr>
        <w:ind w:left="780" w:hanging="360"/>
      </w:pPr>
      <w:rPr>
        <w:rFonts w:hint="default" w:ascii="黑体" w:hAnsi="黑体" w:eastAsia="黑体" w:cs="Calibri"/>
      </w:rPr>
    </w:lvl>
    <w:lvl w:ilvl="1" w:tentative="0">
      <w:start w:val="1"/>
      <w:numFmt w:val="lowerLetter"/>
      <w:lvlText w:val="%2)"/>
      <w:lvlJc w:val="left"/>
      <w:pPr>
        <w:ind w:left="1380" w:hanging="480"/>
      </w:pPr>
      <w:rPr>
        <w:rFonts w:hint="eastAsia"/>
      </w:rPr>
    </w:lvl>
    <w:lvl w:ilvl="2" w:tentative="0">
      <w:start w:val="1"/>
      <w:numFmt w:val="lowerRoman"/>
      <w:lvlText w:val="%3."/>
      <w:lvlJc w:val="right"/>
      <w:pPr>
        <w:ind w:left="1860" w:hanging="480"/>
      </w:pPr>
      <w:rPr>
        <w:rFonts w:hint="eastAsia"/>
      </w:rPr>
    </w:lvl>
    <w:lvl w:ilvl="3" w:tentative="0">
      <w:start w:val="1"/>
      <w:numFmt w:val="decimal"/>
      <w:lvlText w:val="%4."/>
      <w:lvlJc w:val="left"/>
      <w:pPr>
        <w:ind w:left="2340" w:hanging="480"/>
      </w:pPr>
      <w:rPr>
        <w:rFonts w:hint="eastAsia"/>
      </w:rPr>
    </w:lvl>
    <w:lvl w:ilvl="4" w:tentative="0">
      <w:start w:val="1"/>
      <w:numFmt w:val="lowerLetter"/>
      <w:lvlText w:val="%5)"/>
      <w:lvlJc w:val="left"/>
      <w:pPr>
        <w:ind w:left="2820" w:hanging="480"/>
      </w:pPr>
      <w:rPr>
        <w:rFonts w:hint="eastAsia"/>
      </w:rPr>
    </w:lvl>
    <w:lvl w:ilvl="5" w:tentative="0">
      <w:start w:val="1"/>
      <w:numFmt w:val="lowerRoman"/>
      <w:lvlText w:val="%6."/>
      <w:lvlJc w:val="right"/>
      <w:pPr>
        <w:ind w:left="3300" w:hanging="480"/>
      </w:pPr>
      <w:rPr>
        <w:rFonts w:hint="eastAsia"/>
      </w:rPr>
    </w:lvl>
    <w:lvl w:ilvl="6" w:tentative="0">
      <w:start w:val="1"/>
      <w:numFmt w:val="decimal"/>
      <w:lvlText w:val="%7."/>
      <w:lvlJc w:val="left"/>
      <w:pPr>
        <w:ind w:left="3780" w:hanging="480"/>
      </w:pPr>
      <w:rPr>
        <w:rFonts w:hint="eastAsia"/>
      </w:rPr>
    </w:lvl>
    <w:lvl w:ilvl="7" w:tentative="0">
      <w:start w:val="1"/>
      <w:numFmt w:val="lowerLetter"/>
      <w:lvlText w:val="%8)"/>
      <w:lvlJc w:val="left"/>
      <w:pPr>
        <w:ind w:left="4260" w:hanging="480"/>
      </w:pPr>
      <w:rPr>
        <w:rFonts w:hint="eastAsia"/>
      </w:rPr>
    </w:lvl>
    <w:lvl w:ilvl="8" w:tentative="0">
      <w:start w:val="1"/>
      <w:numFmt w:val="lowerRoman"/>
      <w:lvlText w:val="%9."/>
      <w:lvlJc w:val="right"/>
      <w:pPr>
        <w:ind w:left="4740" w:hanging="480"/>
      </w:pPr>
      <w:rPr>
        <w:rFonts w:hint="eastAsia"/>
      </w:rPr>
    </w:lvl>
  </w:abstractNum>
  <w:abstractNum w:abstractNumId="5">
    <w:nsid w:val="23D85CF4"/>
    <w:multiLevelType w:val="multilevel"/>
    <w:tmpl w:val="23D85CF4"/>
    <w:lvl w:ilvl="0" w:tentative="0">
      <w:start w:val="1"/>
      <w:numFmt w:val="lowerLetter"/>
      <w:suff w:val="nothing"/>
      <w:lvlText w:val="%1)"/>
      <w:lvlJc w:val="left"/>
      <w:pPr>
        <w:ind w:left="780" w:hanging="360"/>
      </w:pPr>
      <w:rPr>
        <w:rFonts w:hint="default" w:ascii="黑体" w:hAnsi="黑体" w:eastAsia="黑体"/>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
    <w:nsid w:val="2C156BAC"/>
    <w:multiLevelType w:val="multilevel"/>
    <w:tmpl w:val="2C156BAC"/>
    <w:lvl w:ilvl="0" w:tentative="0">
      <w:start w:val="1"/>
      <w:numFmt w:val="decimal"/>
      <w:suff w:val="nothing"/>
      <w:lvlText w:val="%1"/>
      <w:lvlJc w:val="left"/>
      <w:pPr>
        <w:ind w:left="425" w:hanging="425"/>
      </w:pPr>
      <w:rPr>
        <w:rFonts w:hint="eastAsia"/>
      </w:rPr>
    </w:lvl>
    <w:lvl w:ilvl="1" w:tentative="0">
      <w:start w:val="1"/>
      <w:numFmt w:val="decimal"/>
      <w:suff w:val="nothing"/>
      <w:lvlText w:val="%1.%2"/>
      <w:lvlJc w:val="left"/>
      <w:pPr>
        <w:ind w:left="992" w:hanging="567"/>
      </w:pPr>
      <w:rPr>
        <w:rFonts w:hint="eastAsia"/>
        <w:b w:val="0"/>
        <w:sz w:val="21"/>
        <w:szCs w:val="21"/>
      </w:rPr>
    </w:lvl>
    <w:lvl w:ilvl="2" w:tentative="0">
      <w:start w:val="1"/>
      <w:numFmt w:val="decimal"/>
      <w:suff w:val="nothing"/>
      <w:lvlText w:val="%1.%2.%3"/>
      <w:lvlJc w:val="left"/>
      <w:pPr>
        <w:ind w:left="1277" w:hanging="567"/>
      </w:pPr>
      <w:rPr>
        <w:rFonts w:hint="eastAsia"/>
        <w:b w:val="0"/>
        <w:bCs w:val="0"/>
        <w:i w:val="0"/>
        <w:iCs w:val="0"/>
        <w:caps w:val="0"/>
        <w:smallCaps w:val="0"/>
        <w:strike w:val="0"/>
        <w:dstrike w:val="0"/>
        <w:vanish w:val="0"/>
        <w:color w:val="000000"/>
        <w:spacing w:val="0"/>
        <w:position w:val="0"/>
        <w:u w:val="none"/>
        <w:vertAlign w:val="baseline"/>
      </w:rPr>
    </w:lvl>
    <w:lvl w:ilvl="3" w:tentative="0">
      <w:start w:val="1"/>
      <w:numFmt w:val="decimal"/>
      <w:suff w:val="nothing"/>
      <w:lvlText w:val="%1.%2.%3.%4"/>
      <w:lvlJc w:val="left"/>
      <w:pPr>
        <w:ind w:left="2410" w:hanging="708"/>
      </w:pPr>
      <w:rPr>
        <w:rFonts w:hint="eastAsia" w:ascii="黑体" w:hAnsi="黑体" w:eastAsia="黑体"/>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2D9024F9"/>
    <w:multiLevelType w:val="multilevel"/>
    <w:tmpl w:val="2D9024F9"/>
    <w:lvl w:ilvl="0" w:tentative="0">
      <w:start w:val="1"/>
      <w:numFmt w:val="lowerLetter"/>
      <w:suff w:val="nothing"/>
      <w:lvlText w:val="%1)"/>
      <w:lvlJc w:val="left"/>
      <w:pPr>
        <w:ind w:left="846" w:hanging="420"/>
      </w:pPr>
      <w:rPr>
        <w:rFonts w:hint="eastAsia" w:ascii="黑体" w:hAnsi="黑体" w:eastAsia="黑体"/>
      </w:rPr>
    </w:lvl>
    <w:lvl w:ilvl="1" w:tentative="0">
      <w:start w:val="1"/>
      <w:numFmt w:val="lowerLetter"/>
      <w:lvlText w:val="%2)"/>
      <w:lvlJc w:val="left"/>
      <w:pPr>
        <w:ind w:left="1266" w:hanging="420"/>
      </w:pPr>
      <w:rPr>
        <w:rFonts w:hint="eastAsia"/>
      </w:rPr>
    </w:lvl>
    <w:lvl w:ilvl="2" w:tentative="0">
      <w:start w:val="1"/>
      <w:numFmt w:val="lowerRoman"/>
      <w:lvlText w:val="%3."/>
      <w:lvlJc w:val="right"/>
      <w:pPr>
        <w:ind w:left="1686" w:hanging="420"/>
      </w:pPr>
      <w:rPr>
        <w:rFonts w:hint="eastAsia"/>
      </w:rPr>
    </w:lvl>
    <w:lvl w:ilvl="3" w:tentative="0">
      <w:start w:val="1"/>
      <w:numFmt w:val="decimal"/>
      <w:lvlText w:val="%4."/>
      <w:lvlJc w:val="left"/>
      <w:pPr>
        <w:ind w:left="2106" w:hanging="420"/>
      </w:pPr>
      <w:rPr>
        <w:rFonts w:hint="eastAsia"/>
      </w:rPr>
    </w:lvl>
    <w:lvl w:ilvl="4" w:tentative="0">
      <w:start w:val="1"/>
      <w:numFmt w:val="lowerLetter"/>
      <w:lvlText w:val="%5)"/>
      <w:lvlJc w:val="left"/>
      <w:pPr>
        <w:ind w:left="2526" w:hanging="420"/>
      </w:pPr>
      <w:rPr>
        <w:rFonts w:hint="eastAsia"/>
      </w:rPr>
    </w:lvl>
    <w:lvl w:ilvl="5" w:tentative="0">
      <w:start w:val="1"/>
      <w:numFmt w:val="lowerRoman"/>
      <w:lvlText w:val="%6."/>
      <w:lvlJc w:val="right"/>
      <w:pPr>
        <w:ind w:left="2946" w:hanging="420"/>
      </w:pPr>
      <w:rPr>
        <w:rFonts w:hint="eastAsia"/>
      </w:rPr>
    </w:lvl>
    <w:lvl w:ilvl="6" w:tentative="0">
      <w:start w:val="1"/>
      <w:numFmt w:val="decimal"/>
      <w:lvlText w:val="%7."/>
      <w:lvlJc w:val="left"/>
      <w:pPr>
        <w:ind w:left="3366" w:hanging="420"/>
      </w:pPr>
      <w:rPr>
        <w:rFonts w:hint="eastAsia"/>
      </w:rPr>
    </w:lvl>
    <w:lvl w:ilvl="7" w:tentative="0">
      <w:start w:val="1"/>
      <w:numFmt w:val="lowerLetter"/>
      <w:lvlText w:val="%8)"/>
      <w:lvlJc w:val="left"/>
      <w:pPr>
        <w:ind w:left="3786" w:hanging="420"/>
      </w:pPr>
      <w:rPr>
        <w:rFonts w:hint="eastAsia"/>
      </w:rPr>
    </w:lvl>
    <w:lvl w:ilvl="8" w:tentative="0">
      <w:start w:val="1"/>
      <w:numFmt w:val="lowerRoman"/>
      <w:lvlText w:val="%9."/>
      <w:lvlJc w:val="right"/>
      <w:pPr>
        <w:ind w:left="4206" w:hanging="420"/>
      </w:pPr>
      <w:rPr>
        <w:rFonts w:hint="eastAsia"/>
      </w:rPr>
    </w:lvl>
  </w:abstractNum>
  <w:abstractNum w:abstractNumId="8">
    <w:nsid w:val="34C36499"/>
    <w:multiLevelType w:val="multilevel"/>
    <w:tmpl w:val="34C36499"/>
    <w:lvl w:ilvl="0" w:tentative="0">
      <w:start w:val="1"/>
      <w:numFmt w:val="lowerLetter"/>
      <w:suff w:val="nothing"/>
      <w:lvlText w:val="%1)"/>
      <w:lvlJc w:val="left"/>
      <w:pPr>
        <w:ind w:left="780" w:hanging="360"/>
      </w:pPr>
      <w:rPr>
        <w:rFonts w:hint="default" w:ascii="黑体" w:hAnsi="黑体" w:eastAsia="黑体" w:cs="Calibri"/>
      </w:rPr>
    </w:lvl>
    <w:lvl w:ilvl="1" w:tentative="0">
      <w:start w:val="1"/>
      <w:numFmt w:val="lowerLetter"/>
      <w:lvlText w:val="%2)"/>
      <w:lvlJc w:val="left"/>
      <w:pPr>
        <w:ind w:left="1380" w:hanging="480"/>
      </w:pPr>
      <w:rPr>
        <w:rFonts w:hint="eastAsia"/>
      </w:rPr>
    </w:lvl>
    <w:lvl w:ilvl="2" w:tentative="0">
      <w:start w:val="1"/>
      <w:numFmt w:val="lowerRoman"/>
      <w:lvlText w:val="%3."/>
      <w:lvlJc w:val="right"/>
      <w:pPr>
        <w:ind w:left="1860" w:hanging="480"/>
      </w:pPr>
      <w:rPr>
        <w:rFonts w:hint="eastAsia"/>
      </w:rPr>
    </w:lvl>
    <w:lvl w:ilvl="3" w:tentative="0">
      <w:start w:val="1"/>
      <w:numFmt w:val="decimal"/>
      <w:lvlText w:val="%4."/>
      <w:lvlJc w:val="left"/>
      <w:pPr>
        <w:ind w:left="2340" w:hanging="480"/>
      </w:pPr>
      <w:rPr>
        <w:rFonts w:hint="eastAsia"/>
      </w:rPr>
    </w:lvl>
    <w:lvl w:ilvl="4" w:tentative="0">
      <w:start w:val="1"/>
      <w:numFmt w:val="lowerLetter"/>
      <w:lvlText w:val="%5)"/>
      <w:lvlJc w:val="left"/>
      <w:pPr>
        <w:ind w:left="2820" w:hanging="480"/>
      </w:pPr>
      <w:rPr>
        <w:rFonts w:hint="eastAsia"/>
      </w:rPr>
    </w:lvl>
    <w:lvl w:ilvl="5" w:tentative="0">
      <w:start w:val="1"/>
      <w:numFmt w:val="lowerRoman"/>
      <w:lvlText w:val="%6."/>
      <w:lvlJc w:val="right"/>
      <w:pPr>
        <w:ind w:left="3300" w:hanging="480"/>
      </w:pPr>
      <w:rPr>
        <w:rFonts w:hint="eastAsia"/>
      </w:rPr>
    </w:lvl>
    <w:lvl w:ilvl="6" w:tentative="0">
      <w:start w:val="1"/>
      <w:numFmt w:val="decimal"/>
      <w:lvlText w:val="%7."/>
      <w:lvlJc w:val="left"/>
      <w:pPr>
        <w:ind w:left="3780" w:hanging="480"/>
      </w:pPr>
      <w:rPr>
        <w:rFonts w:hint="eastAsia"/>
      </w:rPr>
    </w:lvl>
    <w:lvl w:ilvl="7" w:tentative="0">
      <w:start w:val="1"/>
      <w:numFmt w:val="lowerLetter"/>
      <w:lvlText w:val="%8)"/>
      <w:lvlJc w:val="left"/>
      <w:pPr>
        <w:ind w:left="4260" w:hanging="480"/>
      </w:pPr>
      <w:rPr>
        <w:rFonts w:hint="eastAsia"/>
      </w:rPr>
    </w:lvl>
    <w:lvl w:ilvl="8" w:tentative="0">
      <w:start w:val="1"/>
      <w:numFmt w:val="lowerRoman"/>
      <w:lvlText w:val="%9."/>
      <w:lvlJc w:val="right"/>
      <w:pPr>
        <w:ind w:left="4740" w:hanging="480"/>
      </w:pPr>
      <w:rPr>
        <w:rFonts w:hint="eastAsia"/>
      </w:rPr>
    </w:lvl>
  </w:abstractNum>
  <w:abstractNum w:abstractNumId="9">
    <w:nsid w:val="3B81754D"/>
    <w:multiLevelType w:val="multilevel"/>
    <w:tmpl w:val="3B81754D"/>
    <w:lvl w:ilvl="0" w:tentative="0">
      <w:start w:val="1"/>
      <w:numFmt w:val="lowerLetter"/>
      <w:suff w:val="nothing"/>
      <w:lvlText w:val="%1)"/>
      <w:lvlJc w:val="left"/>
      <w:pPr>
        <w:ind w:left="846" w:hanging="420"/>
      </w:pPr>
      <w:rPr>
        <w:rFonts w:hint="eastAsia" w:ascii="黑体" w:hAnsi="黑体" w:eastAsia="黑体"/>
      </w:rPr>
    </w:lvl>
    <w:lvl w:ilvl="1" w:tentative="0">
      <w:start w:val="1"/>
      <w:numFmt w:val="lowerLetter"/>
      <w:lvlText w:val="%2)"/>
      <w:lvlJc w:val="left"/>
      <w:pPr>
        <w:ind w:left="1266" w:hanging="420"/>
      </w:pPr>
      <w:rPr>
        <w:rFonts w:hint="eastAsia"/>
      </w:rPr>
    </w:lvl>
    <w:lvl w:ilvl="2" w:tentative="0">
      <w:start w:val="1"/>
      <w:numFmt w:val="lowerRoman"/>
      <w:lvlText w:val="%3."/>
      <w:lvlJc w:val="right"/>
      <w:pPr>
        <w:ind w:left="1686" w:hanging="420"/>
      </w:pPr>
      <w:rPr>
        <w:rFonts w:hint="eastAsia"/>
      </w:rPr>
    </w:lvl>
    <w:lvl w:ilvl="3" w:tentative="0">
      <w:start w:val="1"/>
      <w:numFmt w:val="decimal"/>
      <w:lvlText w:val="%4."/>
      <w:lvlJc w:val="left"/>
      <w:pPr>
        <w:ind w:left="2106" w:hanging="420"/>
      </w:pPr>
      <w:rPr>
        <w:rFonts w:hint="eastAsia"/>
      </w:rPr>
    </w:lvl>
    <w:lvl w:ilvl="4" w:tentative="0">
      <w:start w:val="1"/>
      <w:numFmt w:val="lowerLetter"/>
      <w:lvlText w:val="%5)"/>
      <w:lvlJc w:val="left"/>
      <w:pPr>
        <w:ind w:left="2526" w:hanging="420"/>
      </w:pPr>
      <w:rPr>
        <w:rFonts w:hint="eastAsia"/>
      </w:rPr>
    </w:lvl>
    <w:lvl w:ilvl="5" w:tentative="0">
      <w:start w:val="1"/>
      <w:numFmt w:val="lowerRoman"/>
      <w:lvlText w:val="%6."/>
      <w:lvlJc w:val="right"/>
      <w:pPr>
        <w:ind w:left="2946" w:hanging="420"/>
      </w:pPr>
      <w:rPr>
        <w:rFonts w:hint="eastAsia"/>
      </w:rPr>
    </w:lvl>
    <w:lvl w:ilvl="6" w:tentative="0">
      <w:start w:val="1"/>
      <w:numFmt w:val="decimal"/>
      <w:lvlText w:val="%7."/>
      <w:lvlJc w:val="left"/>
      <w:pPr>
        <w:ind w:left="3366" w:hanging="420"/>
      </w:pPr>
      <w:rPr>
        <w:rFonts w:hint="eastAsia"/>
      </w:rPr>
    </w:lvl>
    <w:lvl w:ilvl="7" w:tentative="0">
      <w:start w:val="1"/>
      <w:numFmt w:val="lowerLetter"/>
      <w:lvlText w:val="%8)"/>
      <w:lvlJc w:val="left"/>
      <w:pPr>
        <w:ind w:left="3786" w:hanging="420"/>
      </w:pPr>
      <w:rPr>
        <w:rFonts w:hint="eastAsia"/>
      </w:rPr>
    </w:lvl>
    <w:lvl w:ilvl="8" w:tentative="0">
      <w:start w:val="1"/>
      <w:numFmt w:val="lowerRoman"/>
      <w:lvlText w:val="%9."/>
      <w:lvlJc w:val="right"/>
      <w:pPr>
        <w:ind w:left="4206" w:hanging="420"/>
      </w:pPr>
      <w:rPr>
        <w:rFonts w:hint="eastAsia"/>
      </w:rPr>
    </w:lvl>
  </w:abstractNum>
  <w:abstractNum w:abstractNumId="10">
    <w:nsid w:val="53397602"/>
    <w:multiLevelType w:val="multilevel"/>
    <w:tmpl w:val="53397602"/>
    <w:lvl w:ilvl="0" w:tentative="0">
      <w:start w:val="1"/>
      <w:numFmt w:val="lowerLetter"/>
      <w:suff w:val="nothing"/>
      <w:lvlText w:val="%1)"/>
      <w:lvlJc w:val="left"/>
      <w:pPr>
        <w:ind w:left="780" w:hanging="360"/>
      </w:pPr>
      <w:rPr>
        <w:rFonts w:hint="default" w:ascii="黑体" w:hAnsi="黑体" w:eastAsia="黑体" w:cs="Calibri"/>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1">
    <w:nsid w:val="6EED3C65"/>
    <w:multiLevelType w:val="multilevel"/>
    <w:tmpl w:val="6EED3C65"/>
    <w:lvl w:ilvl="0" w:tentative="0">
      <w:start w:val="1"/>
      <w:numFmt w:val="lowerLetter"/>
      <w:suff w:val="nothing"/>
      <w:lvlText w:val="%1)"/>
      <w:lvlJc w:val="left"/>
      <w:pPr>
        <w:ind w:left="780" w:hanging="360"/>
      </w:pPr>
      <w:rPr>
        <w:rFonts w:hint="default" w:ascii="黑体" w:hAnsi="黑体" w:eastAsia="黑体"/>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2">
    <w:nsid w:val="6F670446"/>
    <w:multiLevelType w:val="multilevel"/>
    <w:tmpl w:val="6F670446"/>
    <w:lvl w:ilvl="0" w:tentative="0">
      <w:start w:val="1"/>
      <w:numFmt w:val="lowerLetter"/>
      <w:suff w:val="nothing"/>
      <w:lvlText w:val="%1)"/>
      <w:lvlJc w:val="left"/>
      <w:pPr>
        <w:ind w:left="780" w:hanging="360"/>
      </w:pPr>
      <w:rPr>
        <w:rFonts w:hint="default" w:ascii="黑体" w:hAnsi="黑体" w:eastAsia="黑体"/>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3">
    <w:nsid w:val="74187B14"/>
    <w:multiLevelType w:val="multilevel"/>
    <w:tmpl w:val="74187B14"/>
    <w:lvl w:ilvl="0" w:tentative="0">
      <w:start w:val="1"/>
      <w:numFmt w:val="lowerLetter"/>
      <w:suff w:val="nothing"/>
      <w:lvlText w:val="%1)"/>
      <w:lvlJc w:val="left"/>
      <w:pPr>
        <w:ind w:left="780" w:hanging="360"/>
      </w:pPr>
      <w:rPr>
        <w:rFonts w:hint="default" w:ascii="黑体" w:hAnsi="黑体" w:eastAsia="黑体"/>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num w:numId="1">
    <w:abstractNumId w:val="6"/>
  </w:num>
  <w:num w:numId="2">
    <w:abstractNumId w:val="1"/>
  </w:num>
  <w:num w:numId="3">
    <w:abstractNumId w:val="2"/>
  </w:num>
  <w:num w:numId="4">
    <w:abstractNumId w:val="10"/>
  </w:num>
  <w:num w:numId="5">
    <w:abstractNumId w:val="4"/>
  </w:num>
  <w:num w:numId="6">
    <w:abstractNumId w:val="8"/>
  </w:num>
  <w:num w:numId="7">
    <w:abstractNumId w:val="0"/>
  </w:num>
  <w:num w:numId="8">
    <w:abstractNumId w:val="12"/>
  </w:num>
  <w:num w:numId="9">
    <w:abstractNumId w:val="9"/>
  </w:num>
  <w:num w:numId="10">
    <w:abstractNumId w:val="7"/>
  </w:num>
  <w:num w:numId="11">
    <w:abstractNumId w:val="13"/>
  </w:num>
  <w:num w:numId="12">
    <w:abstractNumId w:val="5"/>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90BF6"/>
    <w:rsid w:val="00007C4A"/>
    <w:rsid w:val="00031A73"/>
    <w:rsid w:val="00040DD5"/>
    <w:rsid w:val="00043D40"/>
    <w:rsid w:val="0005207F"/>
    <w:rsid w:val="00052863"/>
    <w:rsid w:val="000549EE"/>
    <w:rsid w:val="00054F70"/>
    <w:rsid w:val="00055385"/>
    <w:rsid w:val="00057635"/>
    <w:rsid w:val="00081F17"/>
    <w:rsid w:val="000854F0"/>
    <w:rsid w:val="000974D9"/>
    <w:rsid w:val="000A0D25"/>
    <w:rsid w:val="000A0ECB"/>
    <w:rsid w:val="000A22E1"/>
    <w:rsid w:val="000B5909"/>
    <w:rsid w:val="000C1956"/>
    <w:rsid w:val="000C4C5A"/>
    <w:rsid w:val="000D275F"/>
    <w:rsid w:val="000D57FD"/>
    <w:rsid w:val="000E23DE"/>
    <w:rsid w:val="000E47D1"/>
    <w:rsid w:val="00114354"/>
    <w:rsid w:val="00117B7D"/>
    <w:rsid w:val="00117EA6"/>
    <w:rsid w:val="00122130"/>
    <w:rsid w:val="0013114E"/>
    <w:rsid w:val="001510FC"/>
    <w:rsid w:val="00151280"/>
    <w:rsid w:val="00155405"/>
    <w:rsid w:val="001641B1"/>
    <w:rsid w:val="001647BE"/>
    <w:rsid w:val="00167D1E"/>
    <w:rsid w:val="00184EFD"/>
    <w:rsid w:val="00190318"/>
    <w:rsid w:val="001921AE"/>
    <w:rsid w:val="001A5528"/>
    <w:rsid w:val="001B128A"/>
    <w:rsid w:val="001B5F10"/>
    <w:rsid w:val="001B63A2"/>
    <w:rsid w:val="001C0370"/>
    <w:rsid w:val="001D0373"/>
    <w:rsid w:val="001D2ED4"/>
    <w:rsid w:val="001D674C"/>
    <w:rsid w:val="001F2304"/>
    <w:rsid w:val="001F3E1D"/>
    <w:rsid w:val="0020306A"/>
    <w:rsid w:val="00207F2D"/>
    <w:rsid w:val="0022500E"/>
    <w:rsid w:val="00227E0C"/>
    <w:rsid w:val="00232115"/>
    <w:rsid w:val="00240549"/>
    <w:rsid w:val="00245996"/>
    <w:rsid w:val="002475A3"/>
    <w:rsid w:val="00264EFB"/>
    <w:rsid w:val="00266E32"/>
    <w:rsid w:val="0027292B"/>
    <w:rsid w:val="00281CFA"/>
    <w:rsid w:val="00290513"/>
    <w:rsid w:val="00291982"/>
    <w:rsid w:val="00291FAC"/>
    <w:rsid w:val="00294F39"/>
    <w:rsid w:val="00294F7A"/>
    <w:rsid w:val="002B056B"/>
    <w:rsid w:val="002B15F6"/>
    <w:rsid w:val="002C0AA7"/>
    <w:rsid w:val="002C63EF"/>
    <w:rsid w:val="002C7F76"/>
    <w:rsid w:val="002D2402"/>
    <w:rsid w:val="002E1240"/>
    <w:rsid w:val="002E6682"/>
    <w:rsid w:val="002F1D01"/>
    <w:rsid w:val="00304EC9"/>
    <w:rsid w:val="003227F9"/>
    <w:rsid w:val="0032430F"/>
    <w:rsid w:val="003258EF"/>
    <w:rsid w:val="0032625D"/>
    <w:rsid w:val="00332EEA"/>
    <w:rsid w:val="00333DF7"/>
    <w:rsid w:val="0034067F"/>
    <w:rsid w:val="00342871"/>
    <w:rsid w:val="00343E45"/>
    <w:rsid w:val="00353D23"/>
    <w:rsid w:val="00355A0C"/>
    <w:rsid w:val="0035765F"/>
    <w:rsid w:val="003642E2"/>
    <w:rsid w:val="003644BE"/>
    <w:rsid w:val="00365CB6"/>
    <w:rsid w:val="00376232"/>
    <w:rsid w:val="00377F39"/>
    <w:rsid w:val="00397044"/>
    <w:rsid w:val="00397344"/>
    <w:rsid w:val="003A37C8"/>
    <w:rsid w:val="003D442F"/>
    <w:rsid w:val="003D610F"/>
    <w:rsid w:val="003F08C2"/>
    <w:rsid w:val="003F6642"/>
    <w:rsid w:val="004075D8"/>
    <w:rsid w:val="00407DE5"/>
    <w:rsid w:val="00410C4A"/>
    <w:rsid w:val="004123E5"/>
    <w:rsid w:val="004129D3"/>
    <w:rsid w:val="00412C41"/>
    <w:rsid w:val="004145CA"/>
    <w:rsid w:val="0042349A"/>
    <w:rsid w:val="0042744B"/>
    <w:rsid w:val="00430D9B"/>
    <w:rsid w:val="0043199C"/>
    <w:rsid w:val="00436AFA"/>
    <w:rsid w:val="004425DC"/>
    <w:rsid w:val="00442DAB"/>
    <w:rsid w:val="00443F99"/>
    <w:rsid w:val="0045416B"/>
    <w:rsid w:val="00454E4F"/>
    <w:rsid w:val="004778BB"/>
    <w:rsid w:val="00484FA5"/>
    <w:rsid w:val="004936BF"/>
    <w:rsid w:val="004A4AEB"/>
    <w:rsid w:val="004A59D9"/>
    <w:rsid w:val="004B04AD"/>
    <w:rsid w:val="004B35D4"/>
    <w:rsid w:val="004B58CF"/>
    <w:rsid w:val="004B6691"/>
    <w:rsid w:val="004C4854"/>
    <w:rsid w:val="004C618B"/>
    <w:rsid w:val="004C6EFF"/>
    <w:rsid w:val="004D0DD3"/>
    <w:rsid w:val="004D3624"/>
    <w:rsid w:val="004D4541"/>
    <w:rsid w:val="004D4C6D"/>
    <w:rsid w:val="004E7006"/>
    <w:rsid w:val="004F694A"/>
    <w:rsid w:val="00516A83"/>
    <w:rsid w:val="00534FCD"/>
    <w:rsid w:val="005405C8"/>
    <w:rsid w:val="0054473B"/>
    <w:rsid w:val="005450BE"/>
    <w:rsid w:val="005500CB"/>
    <w:rsid w:val="00551406"/>
    <w:rsid w:val="00551EE1"/>
    <w:rsid w:val="00554418"/>
    <w:rsid w:val="00554B0A"/>
    <w:rsid w:val="0055501E"/>
    <w:rsid w:val="00561837"/>
    <w:rsid w:val="00563005"/>
    <w:rsid w:val="005654C9"/>
    <w:rsid w:val="005760C9"/>
    <w:rsid w:val="00584134"/>
    <w:rsid w:val="0058465D"/>
    <w:rsid w:val="0059010C"/>
    <w:rsid w:val="00596273"/>
    <w:rsid w:val="005A3D3B"/>
    <w:rsid w:val="005B2268"/>
    <w:rsid w:val="005B5E45"/>
    <w:rsid w:val="005C1B11"/>
    <w:rsid w:val="005E646C"/>
    <w:rsid w:val="005F3D8A"/>
    <w:rsid w:val="005F4BC5"/>
    <w:rsid w:val="005F6F48"/>
    <w:rsid w:val="005F7421"/>
    <w:rsid w:val="00607CB1"/>
    <w:rsid w:val="0061208D"/>
    <w:rsid w:val="00631768"/>
    <w:rsid w:val="00634D9C"/>
    <w:rsid w:val="00644FEE"/>
    <w:rsid w:val="00646FA6"/>
    <w:rsid w:val="00655EA3"/>
    <w:rsid w:val="00657D95"/>
    <w:rsid w:val="00667E30"/>
    <w:rsid w:val="00670D2D"/>
    <w:rsid w:val="00672173"/>
    <w:rsid w:val="00673189"/>
    <w:rsid w:val="006733D2"/>
    <w:rsid w:val="0067421D"/>
    <w:rsid w:val="00676D3A"/>
    <w:rsid w:val="006819AA"/>
    <w:rsid w:val="00693084"/>
    <w:rsid w:val="00697C7D"/>
    <w:rsid w:val="006A0591"/>
    <w:rsid w:val="006B3EAD"/>
    <w:rsid w:val="006B51A6"/>
    <w:rsid w:val="006C43D4"/>
    <w:rsid w:val="006C518C"/>
    <w:rsid w:val="006C518D"/>
    <w:rsid w:val="006C52BF"/>
    <w:rsid w:val="006C5743"/>
    <w:rsid w:val="006C7DAE"/>
    <w:rsid w:val="006E46B6"/>
    <w:rsid w:val="006E69B2"/>
    <w:rsid w:val="006F118C"/>
    <w:rsid w:val="006F7286"/>
    <w:rsid w:val="007033B0"/>
    <w:rsid w:val="007056EF"/>
    <w:rsid w:val="00712A5C"/>
    <w:rsid w:val="00724F2A"/>
    <w:rsid w:val="00732F90"/>
    <w:rsid w:val="007412BC"/>
    <w:rsid w:val="00744400"/>
    <w:rsid w:val="00752A1C"/>
    <w:rsid w:val="007540C6"/>
    <w:rsid w:val="00767C29"/>
    <w:rsid w:val="00777B88"/>
    <w:rsid w:val="00783BAB"/>
    <w:rsid w:val="007860FC"/>
    <w:rsid w:val="00792323"/>
    <w:rsid w:val="007944E5"/>
    <w:rsid w:val="007A1184"/>
    <w:rsid w:val="007A516D"/>
    <w:rsid w:val="007A5EBC"/>
    <w:rsid w:val="007C2721"/>
    <w:rsid w:val="007D1075"/>
    <w:rsid w:val="007D55C1"/>
    <w:rsid w:val="007F29F0"/>
    <w:rsid w:val="008021D3"/>
    <w:rsid w:val="00806CFF"/>
    <w:rsid w:val="00815414"/>
    <w:rsid w:val="00820C52"/>
    <w:rsid w:val="00831809"/>
    <w:rsid w:val="008348A3"/>
    <w:rsid w:val="00835DB5"/>
    <w:rsid w:val="008414C3"/>
    <w:rsid w:val="00841EA3"/>
    <w:rsid w:val="0084460F"/>
    <w:rsid w:val="00844B78"/>
    <w:rsid w:val="008520AF"/>
    <w:rsid w:val="0085497D"/>
    <w:rsid w:val="008639CD"/>
    <w:rsid w:val="008642FD"/>
    <w:rsid w:val="00870384"/>
    <w:rsid w:val="0087041C"/>
    <w:rsid w:val="00871FC5"/>
    <w:rsid w:val="00890FF7"/>
    <w:rsid w:val="00896056"/>
    <w:rsid w:val="008A71E7"/>
    <w:rsid w:val="008B7258"/>
    <w:rsid w:val="008B7CD3"/>
    <w:rsid w:val="008D340C"/>
    <w:rsid w:val="008D66D1"/>
    <w:rsid w:val="008E065E"/>
    <w:rsid w:val="008E4AA7"/>
    <w:rsid w:val="008E750A"/>
    <w:rsid w:val="008F4709"/>
    <w:rsid w:val="00904932"/>
    <w:rsid w:val="00904A08"/>
    <w:rsid w:val="00927E85"/>
    <w:rsid w:val="009416A9"/>
    <w:rsid w:val="00950AA0"/>
    <w:rsid w:val="00951F9C"/>
    <w:rsid w:val="0096415C"/>
    <w:rsid w:val="00967ED8"/>
    <w:rsid w:val="00973802"/>
    <w:rsid w:val="00975318"/>
    <w:rsid w:val="00976634"/>
    <w:rsid w:val="00992D8B"/>
    <w:rsid w:val="009A571B"/>
    <w:rsid w:val="009B19EE"/>
    <w:rsid w:val="009B1B27"/>
    <w:rsid w:val="009C2079"/>
    <w:rsid w:val="009D1B77"/>
    <w:rsid w:val="009D26D2"/>
    <w:rsid w:val="009D43FA"/>
    <w:rsid w:val="009E0217"/>
    <w:rsid w:val="009E27AC"/>
    <w:rsid w:val="009E5C78"/>
    <w:rsid w:val="009E6A7C"/>
    <w:rsid w:val="009F10B5"/>
    <w:rsid w:val="00A043A0"/>
    <w:rsid w:val="00A05533"/>
    <w:rsid w:val="00A145C3"/>
    <w:rsid w:val="00A148D5"/>
    <w:rsid w:val="00A20EF1"/>
    <w:rsid w:val="00A2549A"/>
    <w:rsid w:val="00A26B63"/>
    <w:rsid w:val="00A341BA"/>
    <w:rsid w:val="00A40889"/>
    <w:rsid w:val="00A465E0"/>
    <w:rsid w:val="00A62BC4"/>
    <w:rsid w:val="00A636C8"/>
    <w:rsid w:val="00A72383"/>
    <w:rsid w:val="00A75827"/>
    <w:rsid w:val="00A85C89"/>
    <w:rsid w:val="00A90DB5"/>
    <w:rsid w:val="00A91345"/>
    <w:rsid w:val="00A91AC1"/>
    <w:rsid w:val="00A9394B"/>
    <w:rsid w:val="00A94A25"/>
    <w:rsid w:val="00A96414"/>
    <w:rsid w:val="00AA23D1"/>
    <w:rsid w:val="00AC177E"/>
    <w:rsid w:val="00AD0CCF"/>
    <w:rsid w:val="00AD6222"/>
    <w:rsid w:val="00AE3426"/>
    <w:rsid w:val="00AF09F6"/>
    <w:rsid w:val="00B04B4A"/>
    <w:rsid w:val="00B06B49"/>
    <w:rsid w:val="00B106CA"/>
    <w:rsid w:val="00B16A23"/>
    <w:rsid w:val="00B232CB"/>
    <w:rsid w:val="00B31970"/>
    <w:rsid w:val="00B500EB"/>
    <w:rsid w:val="00B504A5"/>
    <w:rsid w:val="00B71902"/>
    <w:rsid w:val="00B72B6E"/>
    <w:rsid w:val="00B76D6A"/>
    <w:rsid w:val="00B90EAA"/>
    <w:rsid w:val="00B937F2"/>
    <w:rsid w:val="00B96C69"/>
    <w:rsid w:val="00BA0AC8"/>
    <w:rsid w:val="00BA2931"/>
    <w:rsid w:val="00BB00D0"/>
    <w:rsid w:val="00BB18DE"/>
    <w:rsid w:val="00BB2AC4"/>
    <w:rsid w:val="00BB2C35"/>
    <w:rsid w:val="00BC1984"/>
    <w:rsid w:val="00BC30DC"/>
    <w:rsid w:val="00BC45F9"/>
    <w:rsid w:val="00BC5406"/>
    <w:rsid w:val="00BD15AB"/>
    <w:rsid w:val="00BD5409"/>
    <w:rsid w:val="00BD5534"/>
    <w:rsid w:val="00BE1786"/>
    <w:rsid w:val="00BE332E"/>
    <w:rsid w:val="00BE78D2"/>
    <w:rsid w:val="00C025E3"/>
    <w:rsid w:val="00C02F19"/>
    <w:rsid w:val="00C0357A"/>
    <w:rsid w:val="00C12EF6"/>
    <w:rsid w:val="00C1593B"/>
    <w:rsid w:val="00C20E7B"/>
    <w:rsid w:val="00C27471"/>
    <w:rsid w:val="00C30B73"/>
    <w:rsid w:val="00C4142C"/>
    <w:rsid w:val="00C41E50"/>
    <w:rsid w:val="00C44525"/>
    <w:rsid w:val="00C472F6"/>
    <w:rsid w:val="00C50866"/>
    <w:rsid w:val="00C62111"/>
    <w:rsid w:val="00C75C0A"/>
    <w:rsid w:val="00C761CF"/>
    <w:rsid w:val="00C916F1"/>
    <w:rsid w:val="00CA0D88"/>
    <w:rsid w:val="00CA7C47"/>
    <w:rsid w:val="00CC3BBF"/>
    <w:rsid w:val="00CD3150"/>
    <w:rsid w:val="00CD69AF"/>
    <w:rsid w:val="00CF6BB9"/>
    <w:rsid w:val="00D02946"/>
    <w:rsid w:val="00D07F3C"/>
    <w:rsid w:val="00D20638"/>
    <w:rsid w:val="00D23441"/>
    <w:rsid w:val="00D23BA7"/>
    <w:rsid w:val="00D27D37"/>
    <w:rsid w:val="00D315E9"/>
    <w:rsid w:val="00D32AFC"/>
    <w:rsid w:val="00D33804"/>
    <w:rsid w:val="00D35395"/>
    <w:rsid w:val="00D55C04"/>
    <w:rsid w:val="00D8069D"/>
    <w:rsid w:val="00D85F21"/>
    <w:rsid w:val="00D8633E"/>
    <w:rsid w:val="00D90BF6"/>
    <w:rsid w:val="00D93BE0"/>
    <w:rsid w:val="00DB1B4C"/>
    <w:rsid w:val="00DB6993"/>
    <w:rsid w:val="00DC1176"/>
    <w:rsid w:val="00DD6FFD"/>
    <w:rsid w:val="00DE192A"/>
    <w:rsid w:val="00DF3D1D"/>
    <w:rsid w:val="00DF5956"/>
    <w:rsid w:val="00DF5AB4"/>
    <w:rsid w:val="00E00BB4"/>
    <w:rsid w:val="00E027F8"/>
    <w:rsid w:val="00E0545A"/>
    <w:rsid w:val="00E07447"/>
    <w:rsid w:val="00E15413"/>
    <w:rsid w:val="00E2194C"/>
    <w:rsid w:val="00E21D0D"/>
    <w:rsid w:val="00E26716"/>
    <w:rsid w:val="00E45892"/>
    <w:rsid w:val="00E56B17"/>
    <w:rsid w:val="00E60D22"/>
    <w:rsid w:val="00E63B2F"/>
    <w:rsid w:val="00E73CD7"/>
    <w:rsid w:val="00E747D5"/>
    <w:rsid w:val="00E76110"/>
    <w:rsid w:val="00E83381"/>
    <w:rsid w:val="00E9604E"/>
    <w:rsid w:val="00E96594"/>
    <w:rsid w:val="00E976A2"/>
    <w:rsid w:val="00EA3739"/>
    <w:rsid w:val="00EA6305"/>
    <w:rsid w:val="00EA6D0C"/>
    <w:rsid w:val="00EB0E2A"/>
    <w:rsid w:val="00EC63BB"/>
    <w:rsid w:val="00EE3453"/>
    <w:rsid w:val="00EE3FFD"/>
    <w:rsid w:val="00EF3E3B"/>
    <w:rsid w:val="00F062EC"/>
    <w:rsid w:val="00F15749"/>
    <w:rsid w:val="00F178D1"/>
    <w:rsid w:val="00F21003"/>
    <w:rsid w:val="00F21C8E"/>
    <w:rsid w:val="00F2215B"/>
    <w:rsid w:val="00F304F5"/>
    <w:rsid w:val="00F40485"/>
    <w:rsid w:val="00F404DE"/>
    <w:rsid w:val="00F43252"/>
    <w:rsid w:val="00F62B8C"/>
    <w:rsid w:val="00F62C3B"/>
    <w:rsid w:val="00F80D33"/>
    <w:rsid w:val="00F82B20"/>
    <w:rsid w:val="00F96AFD"/>
    <w:rsid w:val="00FA2805"/>
    <w:rsid w:val="00FA7F2B"/>
    <w:rsid w:val="00FB3F71"/>
    <w:rsid w:val="00FB45CE"/>
    <w:rsid w:val="00FC3651"/>
    <w:rsid w:val="00FC4865"/>
    <w:rsid w:val="00FE581C"/>
    <w:rsid w:val="00FF5E63"/>
    <w:rsid w:val="013F4D2C"/>
    <w:rsid w:val="01545D7C"/>
    <w:rsid w:val="02CC6EB7"/>
    <w:rsid w:val="0426290C"/>
    <w:rsid w:val="043A7EE2"/>
    <w:rsid w:val="0461012E"/>
    <w:rsid w:val="04F04C93"/>
    <w:rsid w:val="05CA5E4D"/>
    <w:rsid w:val="079251C5"/>
    <w:rsid w:val="086E5BEB"/>
    <w:rsid w:val="096029AB"/>
    <w:rsid w:val="09D80809"/>
    <w:rsid w:val="0B6E34AA"/>
    <w:rsid w:val="0D4478FA"/>
    <w:rsid w:val="0DA3386A"/>
    <w:rsid w:val="0E072671"/>
    <w:rsid w:val="10560BFB"/>
    <w:rsid w:val="108E6E91"/>
    <w:rsid w:val="108E7C8E"/>
    <w:rsid w:val="127C520F"/>
    <w:rsid w:val="14570C21"/>
    <w:rsid w:val="14AD071B"/>
    <w:rsid w:val="15420034"/>
    <w:rsid w:val="15493366"/>
    <w:rsid w:val="15882255"/>
    <w:rsid w:val="168B10D0"/>
    <w:rsid w:val="18637B7B"/>
    <w:rsid w:val="193263AC"/>
    <w:rsid w:val="19DA3F6D"/>
    <w:rsid w:val="1A7806DA"/>
    <w:rsid w:val="1A806F43"/>
    <w:rsid w:val="1B12730A"/>
    <w:rsid w:val="1D072B65"/>
    <w:rsid w:val="1D205E1A"/>
    <w:rsid w:val="1D8D1AE8"/>
    <w:rsid w:val="1DB76148"/>
    <w:rsid w:val="1DBE19FB"/>
    <w:rsid w:val="1E2B19B3"/>
    <w:rsid w:val="1E713EA7"/>
    <w:rsid w:val="1E7B5332"/>
    <w:rsid w:val="1E831ACD"/>
    <w:rsid w:val="1E875045"/>
    <w:rsid w:val="1EA54F82"/>
    <w:rsid w:val="1EC97F04"/>
    <w:rsid w:val="20576DBE"/>
    <w:rsid w:val="20E5371D"/>
    <w:rsid w:val="21B46374"/>
    <w:rsid w:val="22DF525B"/>
    <w:rsid w:val="247B7A43"/>
    <w:rsid w:val="247C506D"/>
    <w:rsid w:val="25D34690"/>
    <w:rsid w:val="25DB0E90"/>
    <w:rsid w:val="26035773"/>
    <w:rsid w:val="2B060CD8"/>
    <w:rsid w:val="2B06620B"/>
    <w:rsid w:val="2C372701"/>
    <w:rsid w:val="2CE70579"/>
    <w:rsid w:val="2E3B66CB"/>
    <w:rsid w:val="2F7434CC"/>
    <w:rsid w:val="2F886FE4"/>
    <w:rsid w:val="303F7BF4"/>
    <w:rsid w:val="306629D1"/>
    <w:rsid w:val="30B32BE8"/>
    <w:rsid w:val="30ED428F"/>
    <w:rsid w:val="33FF0453"/>
    <w:rsid w:val="345E5215"/>
    <w:rsid w:val="349C49C4"/>
    <w:rsid w:val="364E2173"/>
    <w:rsid w:val="393117E8"/>
    <w:rsid w:val="39B9765D"/>
    <w:rsid w:val="3A877818"/>
    <w:rsid w:val="3B2F58CD"/>
    <w:rsid w:val="3BBA68F9"/>
    <w:rsid w:val="3BC246FF"/>
    <w:rsid w:val="3BF36D97"/>
    <w:rsid w:val="3C60104E"/>
    <w:rsid w:val="3C8B7B7B"/>
    <w:rsid w:val="3E806EBF"/>
    <w:rsid w:val="4145611D"/>
    <w:rsid w:val="425E6264"/>
    <w:rsid w:val="4423252E"/>
    <w:rsid w:val="44C34558"/>
    <w:rsid w:val="457707B7"/>
    <w:rsid w:val="46D55485"/>
    <w:rsid w:val="47D365C1"/>
    <w:rsid w:val="48621A11"/>
    <w:rsid w:val="48AF46FA"/>
    <w:rsid w:val="498215A8"/>
    <w:rsid w:val="49DB28B2"/>
    <w:rsid w:val="4A45535B"/>
    <w:rsid w:val="4AAC65DF"/>
    <w:rsid w:val="4B145788"/>
    <w:rsid w:val="4B5D73C8"/>
    <w:rsid w:val="4C282014"/>
    <w:rsid w:val="4C4D6EC0"/>
    <w:rsid w:val="4D8D68B1"/>
    <w:rsid w:val="4DB44AEE"/>
    <w:rsid w:val="4DC6350B"/>
    <w:rsid w:val="4EDF6D3A"/>
    <w:rsid w:val="4F191887"/>
    <w:rsid w:val="506A6066"/>
    <w:rsid w:val="51513E20"/>
    <w:rsid w:val="51F208BE"/>
    <w:rsid w:val="523E56AE"/>
    <w:rsid w:val="52B85185"/>
    <w:rsid w:val="53551A01"/>
    <w:rsid w:val="5394013A"/>
    <w:rsid w:val="543728EC"/>
    <w:rsid w:val="55030E1A"/>
    <w:rsid w:val="55FD70E1"/>
    <w:rsid w:val="57DF723E"/>
    <w:rsid w:val="59325D2B"/>
    <w:rsid w:val="5B1904EF"/>
    <w:rsid w:val="5B422527"/>
    <w:rsid w:val="5C407D89"/>
    <w:rsid w:val="5C7A7A4E"/>
    <w:rsid w:val="5CD359F8"/>
    <w:rsid w:val="5D30437E"/>
    <w:rsid w:val="5E2A7BCB"/>
    <w:rsid w:val="5E4008EF"/>
    <w:rsid w:val="5F00733D"/>
    <w:rsid w:val="5F1B38CB"/>
    <w:rsid w:val="5F312377"/>
    <w:rsid w:val="5F8235DD"/>
    <w:rsid w:val="5FAA34F6"/>
    <w:rsid w:val="603A56A2"/>
    <w:rsid w:val="60BC58BE"/>
    <w:rsid w:val="60CA2B13"/>
    <w:rsid w:val="614D5E14"/>
    <w:rsid w:val="61AB6D39"/>
    <w:rsid w:val="61E26B03"/>
    <w:rsid w:val="63FE480D"/>
    <w:rsid w:val="64D92E89"/>
    <w:rsid w:val="65B76046"/>
    <w:rsid w:val="66512AD7"/>
    <w:rsid w:val="666C18C6"/>
    <w:rsid w:val="68CD2D28"/>
    <w:rsid w:val="6B4533A5"/>
    <w:rsid w:val="6BD733EF"/>
    <w:rsid w:val="6BE23DAB"/>
    <w:rsid w:val="6C254964"/>
    <w:rsid w:val="6CE25563"/>
    <w:rsid w:val="6DD761E2"/>
    <w:rsid w:val="6E7F7F49"/>
    <w:rsid w:val="6F0B79EC"/>
    <w:rsid w:val="70A172E8"/>
    <w:rsid w:val="71705F39"/>
    <w:rsid w:val="72962754"/>
    <w:rsid w:val="72C30593"/>
    <w:rsid w:val="72FA1897"/>
    <w:rsid w:val="73A71743"/>
    <w:rsid w:val="74475737"/>
    <w:rsid w:val="747F4FED"/>
    <w:rsid w:val="753E0C35"/>
    <w:rsid w:val="75522AA2"/>
    <w:rsid w:val="7585555C"/>
    <w:rsid w:val="75C323B4"/>
    <w:rsid w:val="75ED21BD"/>
    <w:rsid w:val="769F7C70"/>
    <w:rsid w:val="76E36119"/>
    <w:rsid w:val="7A8D1761"/>
    <w:rsid w:val="7AC72F05"/>
    <w:rsid w:val="7AD9098C"/>
    <w:rsid w:val="7B1B7EB4"/>
    <w:rsid w:val="7DA26479"/>
    <w:rsid w:val="7E1D68AD"/>
    <w:rsid w:val="7E767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Calibri" w:hAnsi="Calibri" w:eastAsia="宋体" w:cs="Times New Roman"/>
      <w:kern w:val="2"/>
      <w:sz w:val="21"/>
      <w:szCs w:val="22"/>
      <w:lang w:val="en-US" w:eastAsia="zh-CN" w:bidi="ar-SA"/>
    </w:rPr>
  </w:style>
  <w:style w:type="paragraph" w:styleId="2">
    <w:name w:val="heading 1"/>
    <w:basedOn w:val="1"/>
    <w:next w:val="1"/>
    <w:link w:val="41"/>
    <w:qFormat/>
    <w:uiPriority w:val="9"/>
    <w:pPr>
      <w:keepNext/>
      <w:keepLines/>
      <w:spacing w:before="340" w:after="330"/>
      <w:ind w:firstLine="0" w:firstLineChars="0"/>
      <w:outlineLvl w:val="0"/>
    </w:pPr>
    <w:rPr>
      <w:b/>
      <w:bCs/>
      <w:kern w:val="44"/>
      <w:sz w:val="32"/>
      <w:szCs w:val="44"/>
    </w:rPr>
  </w:style>
  <w:style w:type="paragraph" w:styleId="3">
    <w:name w:val="heading 2"/>
    <w:basedOn w:val="1"/>
    <w:next w:val="1"/>
    <w:link w:val="36"/>
    <w:qFormat/>
    <w:uiPriority w:val="9"/>
    <w:pPr>
      <w:keepNext/>
      <w:keepLines/>
      <w:spacing w:beforeLines="50" w:afterLines="50"/>
      <w:ind w:firstLine="0" w:firstLineChars="0"/>
      <w:outlineLvl w:val="1"/>
    </w:pPr>
    <w:rPr>
      <w:rFonts w:ascii="Calibri Light" w:hAnsi="Calibri Light"/>
      <w:b/>
      <w:bCs/>
      <w:sz w:val="30"/>
      <w:szCs w:val="32"/>
    </w:rPr>
  </w:style>
  <w:style w:type="paragraph" w:styleId="4">
    <w:name w:val="heading 3"/>
    <w:basedOn w:val="1"/>
    <w:next w:val="1"/>
    <w:link w:val="38"/>
    <w:qFormat/>
    <w:uiPriority w:val="9"/>
    <w:pPr>
      <w:keepNext/>
      <w:keepLines/>
      <w:spacing w:beforeLines="50" w:afterLines="50"/>
      <w:ind w:firstLine="0" w:firstLineChars="0"/>
      <w:outlineLvl w:val="2"/>
    </w:pPr>
    <w:rPr>
      <w:rFonts w:eastAsia="黑体"/>
      <w:bCs/>
      <w:szCs w:val="32"/>
    </w:rPr>
  </w:style>
  <w:style w:type="paragraph" w:styleId="5">
    <w:name w:val="heading 4"/>
    <w:basedOn w:val="4"/>
    <w:next w:val="1"/>
    <w:link w:val="42"/>
    <w:qFormat/>
    <w:uiPriority w:val="9"/>
    <w:pPr>
      <w:outlineLvl w:val="3"/>
    </w:pPr>
    <w:rPr>
      <w:rFonts w:ascii="Calibri Light" w:hAnsi="Calibri Light"/>
      <w:bCs w:val="0"/>
      <w:szCs w:val="28"/>
    </w:rPr>
  </w:style>
  <w:style w:type="paragraph" w:styleId="6">
    <w:name w:val="heading 5"/>
    <w:basedOn w:val="1"/>
    <w:next w:val="1"/>
    <w:link w:val="40"/>
    <w:qFormat/>
    <w:uiPriority w:val="9"/>
    <w:pPr>
      <w:keepNext/>
      <w:keepLines/>
      <w:spacing w:before="280" w:after="290" w:line="376" w:lineRule="auto"/>
      <w:ind w:firstLine="0" w:firstLineChars="0"/>
      <w:outlineLvl w:val="4"/>
    </w:pPr>
    <w:rPr>
      <w:b/>
      <w:bCs/>
      <w:sz w:val="28"/>
      <w:szCs w:val="28"/>
    </w:rPr>
  </w:style>
  <w:style w:type="paragraph" w:styleId="7">
    <w:name w:val="heading 6"/>
    <w:basedOn w:val="1"/>
    <w:next w:val="1"/>
    <w:link w:val="26"/>
    <w:qFormat/>
    <w:uiPriority w:val="9"/>
    <w:pPr>
      <w:keepNext/>
      <w:keepLines/>
      <w:spacing w:before="240" w:after="64" w:line="320" w:lineRule="auto"/>
      <w:ind w:firstLine="0" w:firstLineChars="0"/>
      <w:outlineLvl w:val="5"/>
    </w:pPr>
    <w:rPr>
      <w:rFonts w:ascii="Calibri Light" w:hAnsi="Calibri Light"/>
      <w:b/>
      <w:bCs/>
      <w:sz w:val="24"/>
      <w:szCs w:val="24"/>
    </w:rPr>
  </w:style>
  <w:style w:type="paragraph" w:styleId="8">
    <w:name w:val="heading 7"/>
    <w:basedOn w:val="1"/>
    <w:next w:val="1"/>
    <w:link w:val="29"/>
    <w:qFormat/>
    <w:uiPriority w:val="9"/>
    <w:pPr>
      <w:keepNext/>
      <w:keepLines/>
      <w:spacing w:before="240" w:after="64" w:line="320" w:lineRule="auto"/>
      <w:ind w:firstLine="0" w:firstLineChars="0"/>
      <w:outlineLvl w:val="6"/>
    </w:pPr>
    <w:rPr>
      <w:b/>
      <w:bCs/>
      <w:sz w:val="24"/>
      <w:szCs w:val="24"/>
    </w:rPr>
  </w:style>
  <w:style w:type="paragraph" w:styleId="9">
    <w:name w:val="heading 8"/>
    <w:basedOn w:val="1"/>
    <w:next w:val="1"/>
    <w:link w:val="27"/>
    <w:qFormat/>
    <w:uiPriority w:val="9"/>
    <w:pPr>
      <w:keepNext/>
      <w:keepLines/>
      <w:spacing w:before="240" w:after="64" w:line="320" w:lineRule="auto"/>
      <w:ind w:firstLine="0" w:firstLineChars="0"/>
      <w:outlineLvl w:val="7"/>
    </w:pPr>
    <w:rPr>
      <w:rFonts w:ascii="Calibri Light" w:hAnsi="Calibri Light"/>
      <w:sz w:val="24"/>
      <w:szCs w:val="24"/>
    </w:rPr>
  </w:style>
  <w:style w:type="paragraph" w:styleId="10">
    <w:name w:val="heading 9"/>
    <w:basedOn w:val="1"/>
    <w:next w:val="1"/>
    <w:link w:val="37"/>
    <w:qFormat/>
    <w:uiPriority w:val="9"/>
    <w:pPr>
      <w:keepNext/>
      <w:keepLines/>
      <w:spacing w:before="240" w:after="64" w:line="320" w:lineRule="auto"/>
      <w:ind w:firstLine="0" w:firstLineChars="0"/>
      <w:outlineLvl w:val="8"/>
    </w:pPr>
    <w:rPr>
      <w:rFonts w:ascii="Calibri Light" w:hAnsi="Calibri Light"/>
      <w:szCs w:val="21"/>
    </w:rPr>
  </w:style>
  <w:style w:type="character" w:default="1" w:styleId="21">
    <w:name w:val="Default Paragraph Font"/>
    <w:semiHidden/>
    <w:unhideWhenUsed/>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39"/>
    <w:unhideWhenUsed/>
    <w:qFormat/>
    <w:uiPriority w:val="99"/>
    <w:rPr>
      <w:b/>
      <w:bCs/>
    </w:rPr>
  </w:style>
  <w:style w:type="paragraph" w:styleId="12">
    <w:name w:val="annotation text"/>
    <w:basedOn w:val="1"/>
    <w:link w:val="31"/>
    <w:unhideWhenUsed/>
    <w:qFormat/>
    <w:uiPriority w:val="99"/>
    <w:pPr>
      <w:jc w:val="left"/>
    </w:pPr>
  </w:style>
  <w:style w:type="paragraph" w:styleId="13">
    <w:name w:val="caption"/>
    <w:basedOn w:val="1"/>
    <w:next w:val="1"/>
    <w:qFormat/>
    <w:uiPriority w:val="35"/>
    <w:rPr>
      <w:rFonts w:ascii="Calibri Light" w:hAnsi="Calibri Light" w:eastAsia="黑体"/>
      <w:sz w:val="20"/>
      <w:szCs w:val="20"/>
    </w:rPr>
  </w:style>
  <w:style w:type="paragraph" w:styleId="14">
    <w:name w:val="Document Map"/>
    <w:basedOn w:val="1"/>
    <w:link w:val="25"/>
    <w:unhideWhenUsed/>
    <w:qFormat/>
    <w:uiPriority w:val="99"/>
    <w:rPr>
      <w:rFonts w:ascii="宋体"/>
      <w:sz w:val="24"/>
      <w:szCs w:val="24"/>
    </w:rPr>
  </w:style>
  <w:style w:type="paragraph" w:styleId="15">
    <w:name w:val="toc 3"/>
    <w:basedOn w:val="1"/>
    <w:next w:val="1"/>
    <w:unhideWhenUsed/>
    <w:qFormat/>
    <w:uiPriority w:val="39"/>
    <w:pPr>
      <w:ind w:left="420" w:leftChars="200"/>
    </w:pPr>
    <w:rPr>
      <w:rFonts w:ascii="Times New Roman" w:hAnsi="Times New Roman" w:eastAsia="微软雅黑"/>
      <w:szCs w:val="20"/>
    </w:rPr>
  </w:style>
  <w:style w:type="paragraph" w:styleId="16">
    <w:name w:val="Balloon Text"/>
    <w:basedOn w:val="1"/>
    <w:link w:val="33"/>
    <w:unhideWhenUsed/>
    <w:qFormat/>
    <w:uiPriority w:val="99"/>
    <w:rPr>
      <w:sz w:val="18"/>
      <w:szCs w:val="18"/>
    </w:rPr>
  </w:style>
  <w:style w:type="paragraph" w:styleId="17">
    <w:name w:val="footer"/>
    <w:basedOn w:val="1"/>
    <w:link w:val="30"/>
    <w:unhideWhenUsed/>
    <w:qFormat/>
    <w:uiPriority w:val="99"/>
    <w:pPr>
      <w:tabs>
        <w:tab w:val="center" w:pos="4153"/>
        <w:tab w:val="right" w:pos="8306"/>
      </w:tabs>
      <w:snapToGrid w:val="0"/>
      <w:jc w:val="left"/>
    </w:pPr>
    <w:rPr>
      <w:sz w:val="18"/>
      <w:szCs w:val="18"/>
    </w:rPr>
  </w:style>
  <w:style w:type="paragraph" w:styleId="18">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style>
  <w:style w:type="paragraph" w:styleId="20">
    <w:name w:val="toc 2"/>
    <w:basedOn w:val="1"/>
    <w:next w:val="1"/>
    <w:unhideWhenUsed/>
    <w:qFormat/>
    <w:uiPriority w:val="39"/>
    <w:rPr>
      <w:rFonts w:ascii="Times New Roman" w:hAnsi="Times New Roman" w:eastAsia="微软雅黑"/>
      <w:szCs w:val="20"/>
    </w:rPr>
  </w:style>
  <w:style w:type="character" w:styleId="22">
    <w:name w:val="Hyperlink"/>
    <w:unhideWhenUsed/>
    <w:qFormat/>
    <w:uiPriority w:val="99"/>
    <w:rPr>
      <w:color w:val="0000FF"/>
      <w:u w:val="single"/>
    </w:rPr>
  </w:style>
  <w:style w:type="character" w:styleId="23">
    <w:name w:val="annotation reference"/>
    <w:unhideWhenUsed/>
    <w:qFormat/>
    <w:uiPriority w:val="99"/>
    <w:rPr>
      <w:sz w:val="21"/>
      <w:szCs w:val="21"/>
    </w:rPr>
  </w:style>
  <w:style w:type="character" w:customStyle="1" w:styleId="25">
    <w:name w:val="文档结构图 Char"/>
    <w:link w:val="14"/>
    <w:semiHidden/>
    <w:uiPriority w:val="99"/>
    <w:rPr>
      <w:rFonts w:ascii="宋体"/>
      <w:kern w:val="2"/>
      <w:sz w:val="24"/>
      <w:szCs w:val="24"/>
    </w:rPr>
  </w:style>
  <w:style w:type="character" w:customStyle="1" w:styleId="26">
    <w:name w:val="标题 6 Char"/>
    <w:link w:val="7"/>
    <w:qFormat/>
    <w:uiPriority w:val="9"/>
    <w:rPr>
      <w:rFonts w:ascii="Calibri Light" w:hAnsi="Calibri Light" w:eastAsia="宋体" w:cs="Times New Roman"/>
      <w:b/>
      <w:bCs/>
    </w:rPr>
  </w:style>
  <w:style w:type="character" w:customStyle="1" w:styleId="27">
    <w:name w:val="标题 8 Char"/>
    <w:link w:val="9"/>
    <w:semiHidden/>
    <w:qFormat/>
    <w:uiPriority w:val="9"/>
    <w:rPr>
      <w:rFonts w:ascii="Calibri Light" w:hAnsi="Calibri Light" w:eastAsia="宋体" w:cs="Times New Roman"/>
    </w:rPr>
  </w:style>
  <w:style w:type="character" w:customStyle="1" w:styleId="28">
    <w:name w:val="页眉 Char"/>
    <w:link w:val="18"/>
    <w:qFormat/>
    <w:uiPriority w:val="99"/>
    <w:rPr>
      <w:rFonts w:eastAsia="仿宋"/>
      <w:sz w:val="18"/>
      <w:szCs w:val="18"/>
    </w:rPr>
  </w:style>
  <w:style w:type="character" w:customStyle="1" w:styleId="29">
    <w:name w:val="标题 7 Char"/>
    <w:link w:val="8"/>
    <w:qFormat/>
    <w:uiPriority w:val="9"/>
    <w:rPr>
      <w:b/>
      <w:bCs/>
    </w:rPr>
  </w:style>
  <w:style w:type="character" w:customStyle="1" w:styleId="30">
    <w:name w:val="页脚 Char"/>
    <w:link w:val="17"/>
    <w:qFormat/>
    <w:uiPriority w:val="99"/>
    <w:rPr>
      <w:rFonts w:eastAsia="仿宋"/>
      <w:sz w:val="18"/>
      <w:szCs w:val="18"/>
    </w:rPr>
  </w:style>
  <w:style w:type="character" w:customStyle="1" w:styleId="31">
    <w:name w:val="批注文字 Char"/>
    <w:link w:val="12"/>
    <w:semiHidden/>
    <w:qFormat/>
    <w:uiPriority w:val="99"/>
    <w:rPr>
      <w:sz w:val="21"/>
      <w:szCs w:val="22"/>
    </w:rPr>
  </w:style>
  <w:style w:type="character" w:customStyle="1" w:styleId="32">
    <w:name w:val="发布"/>
    <w:qFormat/>
    <w:uiPriority w:val="99"/>
    <w:rPr>
      <w:rFonts w:ascii="黑体" w:eastAsia="黑体" w:cs="黑体"/>
      <w:spacing w:val="85"/>
      <w:w w:val="100"/>
      <w:position w:val="3"/>
      <w:sz w:val="28"/>
      <w:szCs w:val="28"/>
    </w:rPr>
  </w:style>
  <w:style w:type="character" w:customStyle="1" w:styleId="33">
    <w:name w:val="批注框文本 Char"/>
    <w:link w:val="16"/>
    <w:semiHidden/>
    <w:qFormat/>
    <w:uiPriority w:val="99"/>
    <w:rPr>
      <w:sz w:val="18"/>
      <w:szCs w:val="18"/>
    </w:rPr>
  </w:style>
  <w:style w:type="character" w:customStyle="1" w:styleId="34">
    <w:name w:val="段 Char"/>
    <w:link w:val="35"/>
    <w:qFormat/>
    <w:locked/>
    <w:uiPriority w:val="99"/>
    <w:rPr>
      <w:rFonts w:ascii="宋体" w:hAnsi="宋体" w:eastAsia="微软雅黑" w:cs="Times New Roman"/>
      <w:sz w:val="21"/>
      <w:lang w:bidi="ar-SA"/>
    </w:rPr>
  </w:style>
  <w:style w:type="paragraph" w:customStyle="1" w:styleId="35">
    <w:name w:val="段"/>
    <w:link w:val="34"/>
    <w:qFormat/>
    <w:uiPriority w:val="99"/>
    <w:pPr>
      <w:tabs>
        <w:tab w:val="center" w:pos="4201"/>
        <w:tab w:val="right" w:leader="dot" w:pos="9298"/>
      </w:tabs>
      <w:autoSpaceDE w:val="0"/>
      <w:autoSpaceDN w:val="0"/>
      <w:spacing w:line="120" w:lineRule="auto"/>
      <w:ind w:firstLine="480" w:firstLineChars="200"/>
      <w:jc w:val="both"/>
    </w:pPr>
    <w:rPr>
      <w:rFonts w:ascii="宋体" w:hAnsi="宋体" w:eastAsia="微软雅黑" w:cs="Times New Roman"/>
      <w:sz w:val="21"/>
      <w:lang w:val="en-US" w:eastAsia="zh-CN" w:bidi="ar-SA"/>
    </w:rPr>
  </w:style>
  <w:style w:type="character" w:customStyle="1" w:styleId="36">
    <w:name w:val="标题 2 Char"/>
    <w:link w:val="3"/>
    <w:qFormat/>
    <w:uiPriority w:val="9"/>
    <w:rPr>
      <w:rFonts w:ascii="Calibri Light" w:hAnsi="Calibri Light" w:eastAsia="仿宋" w:cs="Times New Roman"/>
      <w:b/>
      <w:bCs/>
      <w:sz w:val="30"/>
      <w:szCs w:val="32"/>
    </w:rPr>
  </w:style>
  <w:style w:type="character" w:customStyle="1" w:styleId="37">
    <w:name w:val="标题 9 Char"/>
    <w:link w:val="10"/>
    <w:semiHidden/>
    <w:qFormat/>
    <w:uiPriority w:val="9"/>
    <w:rPr>
      <w:rFonts w:ascii="Calibri Light" w:hAnsi="Calibri Light" w:eastAsia="宋体" w:cs="Times New Roman"/>
      <w:sz w:val="21"/>
      <w:szCs w:val="21"/>
    </w:rPr>
  </w:style>
  <w:style w:type="character" w:customStyle="1" w:styleId="38">
    <w:name w:val="标题 3 Char"/>
    <w:link w:val="4"/>
    <w:qFormat/>
    <w:uiPriority w:val="9"/>
    <w:rPr>
      <w:rFonts w:eastAsia="黑体"/>
      <w:bCs/>
      <w:kern w:val="2"/>
      <w:sz w:val="21"/>
      <w:szCs w:val="32"/>
    </w:rPr>
  </w:style>
  <w:style w:type="character" w:customStyle="1" w:styleId="39">
    <w:name w:val="批注主题 Char"/>
    <w:link w:val="11"/>
    <w:semiHidden/>
    <w:qFormat/>
    <w:uiPriority w:val="99"/>
    <w:rPr>
      <w:b/>
      <w:bCs/>
      <w:sz w:val="21"/>
      <w:szCs w:val="22"/>
    </w:rPr>
  </w:style>
  <w:style w:type="character" w:customStyle="1" w:styleId="40">
    <w:name w:val="标题 5 Char"/>
    <w:link w:val="6"/>
    <w:qFormat/>
    <w:uiPriority w:val="9"/>
    <w:rPr>
      <w:b/>
      <w:bCs/>
      <w:sz w:val="28"/>
      <w:szCs w:val="28"/>
    </w:rPr>
  </w:style>
  <w:style w:type="character" w:customStyle="1" w:styleId="41">
    <w:name w:val="标题 1 Char"/>
    <w:link w:val="2"/>
    <w:qFormat/>
    <w:uiPriority w:val="9"/>
    <w:rPr>
      <w:rFonts w:eastAsia="仿宋"/>
      <w:b/>
      <w:bCs/>
      <w:kern w:val="44"/>
      <w:sz w:val="32"/>
      <w:szCs w:val="44"/>
    </w:rPr>
  </w:style>
  <w:style w:type="character" w:customStyle="1" w:styleId="42">
    <w:name w:val="标题 4 Char"/>
    <w:link w:val="5"/>
    <w:qFormat/>
    <w:uiPriority w:val="9"/>
    <w:rPr>
      <w:rFonts w:ascii="Calibri Light" w:hAnsi="Calibri Light" w:eastAsia="宋体" w:cs="Times New Roman"/>
      <w:sz w:val="21"/>
      <w:szCs w:val="28"/>
    </w:rPr>
  </w:style>
  <w:style w:type="paragraph" w:customStyle="1" w:styleId="43">
    <w:name w:val="二级条标题"/>
    <w:basedOn w:val="1"/>
    <w:next w:val="1"/>
    <w:qFormat/>
    <w:uiPriority w:val="0"/>
    <w:pPr>
      <w:widowControl/>
      <w:tabs>
        <w:tab w:val="left" w:pos="0"/>
      </w:tabs>
      <w:spacing w:beforeLines="50" w:afterLines="50"/>
      <w:ind w:firstLine="0" w:firstLineChars="0"/>
      <w:jc w:val="left"/>
      <w:outlineLvl w:val="3"/>
    </w:pPr>
    <w:rPr>
      <w:rFonts w:ascii="黑体" w:hAnsi="黑体" w:eastAsia="微软雅黑"/>
      <w:b/>
      <w:kern w:val="0"/>
      <w:sz w:val="24"/>
      <w:szCs w:val="21"/>
    </w:rPr>
  </w:style>
  <w:style w:type="paragraph" w:customStyle="1" w:styleId="44">
    <w:name w:val="彩色列表1"/>
    <w:basedOn w:val="1"/>
    <w:qFormat/>
    <w:uiPriority w:val="34"/>
    <w:pPr>
      <w:ind w:firstLine="420"/>
    </w:pPr>
  </w:style>
  <w:style w:type="paragraph" w:customStyle="1" w:styleId="45">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Cs w:val="32"/>
    </w:rPr>
  </w:style>
  <w:style w:type="paragraph" w:customStyle="1" w:styleId="46">
    <w:name w:val="其他标准称谓"/>
    <w:next w:val="1"/>
    <w:qFormat/>
    <w:uiPriority w:val="99"/>
    <w:pPr>
      <w:framePr w:hSpace="181" w:vSpace="181" w:wrap="around" w:vAnchor="page" w:hAnchor="page" w:x="1419" w:y="2286" w:anchorLock="1"/>
      <w:spacing w:line="240" w:lineRule="atLeast"/>
      <w:jc w:val="distribute"/>
    </w:pPr>
    <w:rPr>
      <w:rFonts w:ascii="黑体" w:hAnsi="宋体" w:eastAsia="黑体" w:cs="黑体"/>
      <w:spacing w:val="-40"/>
      <w:sz w:val="48"/>
      <w:szCs w:val="48"/>
      <w:lang w:val="en-US" w:eastAsia="zh-CN" w:bidi="ar-SA"/>
    </w:rPr>
  </w:style>
  <w:style w:type="paragraph" w:customStyle="1" w:styleId="47">
    <w:name w:val="修订1"/>
    <w:semiHidden/>
    <w:qFormat/>
    <w:uiPriority w:val="99"/>
    <w:rPr>
      <w:rFonts w:ascii="Calibri" w:hAnsi="Calibri" w:eastAsia="宋体" w:cs="Times New Roman"/>
      <w:kern w:val="2"/>
      <w:sz w:val="21"/>
      <w:szCs w:val="22"/>
      <w:lang w:val="en-US" w:eastAsia="zh-CN" w:bidi="ar-SA"/>
    </w:rPr>
  </w:style>
  <w:style w:type="paragraph" w:customStyle="1" w:styleId="48">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黑体"/>
      <w:sz w:val="28"/>
      <w:szCs w:val="28"/>
      <w:lang w:val="en-US" w:eastAsia="zh-CN" w:bidi="ar-SA"/>
    </w:rPr>
  </w:style>
  <w:style w:type="paragraph" w:customStyle="1" w:styleId="49">
    <w:name w:val="修订2"/>
    <w:qFormat/>
    <w:uiPriority w:val="71"/>
    <w:rPr>
      <w:rFonts w:ascii="Calibri" w:hAnsi="Calibri" w:eastAsia="宋体" w:cs="Times New Roman"/>
      <w:kern w:val="2"/>
      <w:sz w:val="21"/>
      <w:szCs w:val="22"/>
      <w:lang w:val="en-US" w:eastAsia="zh-CN" w:bidi="ar-SA"/>
    </w:rPr>
  </w:style>
  <w:style w:type="paragraph" w:customStyle="1" w:styleId="50">
    <w:name w:val="文献分类号"/>
    <w:qFormat/>
    <w:uiPriority w:val="99"/>
    <w:pPr>
      <w:framePr w:hSpace="180" w:vSpace="180" w:wrap="around" w:vAnchor="margin" w:hAnchor="margin" w:y="1" w:anchorLock="1"/>
      <w:widowControl w:val="0"/>
      <w:textAlignment w:val="center"/>
    </w:pPr>
    <w:rPr>
      <w:rFonts w:ascii="Times New Roman" w:hAnsi="Times New Roman" w:eastAsia="黑体" w:cs="Times New Roman"/>
      <w:sz w:val="21"/>
      <w:szCs w:val="21"/>
      <w:lang w:val="en-US" w:eastAsia="zh-CN" w:bidi="ar-SA"/>
    </w:rPr>
  </w:style>
  <w:style w:type="paragraph" w:customStyle="1" w:styleId="51">
    <w:name w:val="标准书眉_奇数页"/>
    <w:next w:val="1"/>
    <w:qFormat/>
    <w:uiPriority w:val="99"/>
    <w:pPr>
      <w:tabs>
        <w:tab w:val="center" w:pos="4154"/>
        <w:tab w:val="right" w:pos="8306"/>
      </w:tabs>
      <w:spacing w:after="220"/>
      <w:jc w:val="right"/>
    </w:pPr>
    <w:rPr>
      <w:rFonts w:ascii="黑体" w:hAnsi="Times New Roman" w:eastAsia="黑体" w:cs="黑体"/>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22D393-DC3F-49C4-8742-1B394E1C2E99}">
  <ds:schemaRefs/>
</ds:datastoreItem>
</file>

<file path=docProps/app.xml><?xml version="1.0" encoding="utf-8"?>
<Properties xmlns="http://schemas.openxmlformats.org/officeDocument/2006/extended-properties" xmlns:vt="http://schemas.openxmlformats.org/officeDocument/2006/docPropsVTypes">
  <Template>Normal</Template>
  <Pages>14</Pages>
  <Words>1067</Words>
  <Characters>6082</Characters>
  <Lines>50</Lines>
  <Paragraphs>14</Paragraphs>
  <TotalTime>511</TotalTime>
  <ScaleCrop>false</ScaleCrop>
  <LinksUpToDate>false</LinksUpToDate>
  <CharactersWithSpaces>7135</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2018-07-26T09:14:00Z</dcterms:created>
  <dc:creator>nonogame</dc:creator>
  <cp:lastModifiedBy>洛阳</cp:lastModifiedBy>
  <cp:lastPrinted>2018-07-27T16:51:00Z</cp:lastPrinted>
  <dcterms:modified xsi:type="dcterms:W3CDTF">2018-08-27T08:09:07Z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