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sz w:val="28"/>
          <w:szCs w:val="28"/>
        </w:rPr>
      </w:pPr>
    </w:p>
    <w:p>
      <w:pPr>
        <w:autoSpaceDE w:val="0"/>
        <w:autoSpaceDN w:val="0"/>
        <w:adjustRightInd w:val="0"/>
        <w:snapToGrid w:val="0"/>
        <w:spacing w:line="360" w:lineRule="auto"/>
        <w:jc w:val="left"/>
        <w:rPr>
          <w:rFonts w:ascii="仿宋" w:hAnsi="仿宋" w:eastAsia="仿宋"/>
          <w:b/>
          <w:bCs/>
          <w:sz w:val="28"/>
          <w:szCs w:val="28"/>
        </w:rPr>
      </w:pPr>
      <w:r>
        <w:rPr>
          <w:rFonts w:hint="eastAsia" w:ascii="仿宋" w:hAnsi="仿宋" w:eastAsia="仿宋"/>
          <w:b/>
          <w:bCs/>
          <w:sz w:val="28"/>
          <w:szCs w:val="28"/>
        </w:rPr>
        <w:t>项目编号：SFZXXJ-2024-05</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仿宋" w:hAnsi="仿宋" w:eastAsia="仿宋"/>
          <w:b/>
          <w:spacing w:val="-6"/>
          <w:sz w:val="32"/>
          <w:szCs w:val="32"/>
        </w:rPr>
      </w:pPr>
      <w:r>
        <w:rPr>
          <w:rFonts w:hint="eastAsia" w:ascii="仿宋" w:hAnsi="仿宋" w:eastAsia="仿宋"/>
          <w:b/>
          <w:spacing w:val="-6"/>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大楼北侧、副楼南侧过道混凝土路面破除重铺</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项目</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ind w:right="-256" w:rightChars="-80"/>
        <w:jc w:val="center"/>
        <w:rPr>
          <w:rFonts w:hint="eastAsia" w:ascii="宋体" w:hAnsi="宋体"/>
          <w:b/>
          <w:sz w:val="40"/>
          <w:szCs w:val="40"/>
        </w:rPr>
      </w:pPr>
      <w:r>
        <w:rPr>
          <w:rFonts w:hint="eastAsia" w:ascii="宋体" w:hAnsi="宋体"/>
          <w:b/>
          <w:sz w:val="40"/>
          <w:szCs w:val="40"/>
        </w:rPr>
        <w:t>询</w:t>
      </w:r>
    </w:p>
    <w:p>
      <w:pPr>
        <w:spacing w:line="360" w:lineRule="auto"/>
        <w:ind w:right="-256" w:rightChars="-80"/>
        <w:jc w:val="center"/>
        <w:rPr>
          <w:rFonts w:hint="eastAsia" w:ascii="宋体" w:hAnsi="宋体"/>
          <w:b/>
          <w:sz w:val="40"/>
          <w:szCs w:val="40"/>
        </w:rPr>
      </w:pPr>
    </w:p>
    <w:p>
      <w:pPr>
        <w:spacing w:line="360" w:lineRule="auto"/>
        <w:ind w:right="-256" w:rightChars="-80"/>
        <w:jc w:val="center"/>
        <w:rPr>
          <w:rFonts w:hint="eastAsia" w:ascii="宋体" w:hAnsi="宋体"/>
          <w:b/>
          <w:sz w:val="40"/>
          <w:szCs w:val="40"/>
        </w:rPr>
      </w:pPr>
      <w:r>
        <w:rPr>
          <w:rFonts w:hint="eastAsia" w:ascii="宋体" w:hAnsi="宋体"/>
          <w:b/>
          <w:sz w:val="40"/>
          <w:szCs w:val="40"/>
        </w:rPr>
        <w:t>价</w:t>
      </w:r>
    </w:p>
    <w:p>
      <w:pPr>
        <w:spacing w:line="360" w:lineRule="auto"/>
        <w:ind w:right="-256" w:rightChars="-80"/>
        <w:jc w:val="center"/>
        <w:rPr>
          <w:rFonts w:hint="eastAsia" w:ascii="宋体" w:hAnsi="宋体"/>
          <w:b/>
          <w:sz w:val="40"/>
          <w:szCs w:val="40"/>
        </w:rPr>
      </w:pPr>
    </w:p>
    <w:p>
      <w:pPr>
        <w:spacing w:line="360" w:lineRule="auto"/>
        <w:ind w:right="-256" w:rightChars="-80"/>
        <w:jc w:val="center"/>
        <w:rPr>
          <w:rFonts w:hint="eastAsia" w:ascii="宋体" w:hAnsi="宋体"/>
          <w:b/>
          <w:sz w:val="40"/>
          <w:szCs w:val="40"/>
        </w:rPr>
      </w:pPr>
      <w:r>
        <w:rPr>
          <w:rFonts w:hint="eastAsia" w:ascii="宋体" w:hAnsi="宋体"/>
          <w:b/>
          <w:sz w:val="40"/>
          <w:szCs w:val="40"/>
        </w:rPr>
        <w:t>文</w:t>
      </w:r>
    </w:p>
    <w:p>
      <w:pPr>
        <w:spacing w:line="360" w:lineRule="auto"/>
        <w:ind w:right="-256" w:rightChars="-80"/>
        <w:jc w:val="center"/>
        <w:rPr>
          <w:rFonts w:hint="eastAsia" w:ascii="宋体" w:hAnsi="宋体"/>
          <w:b/>
          <w:sz w:val="40"/>
          <w:szCs w:val="40"/>
        </w:rPr>
      </w:pPr>
    </w:p>
    <w:p>
      <w:pPr>
        <w:spacing w:line="360" w:lineRule="auto"/>
        <w:ind w:right="-256" w:rightChars="-80"/>
        <w:jc w:val="center"/>
        <w:rPr>
          <w:rFonts w:hint="eastAsia" w:ascii="宋体" w:hAnsi="宋体"/>
          <w:b/>
          <w:sz w:val="40"/>
          <w:szCs w:val="40"/>
        </w:rPr>
      </w:pPr>
      <w:r>
        <w:rPr>
          <w:rFonts w:hint="eastAsia" w:ascii="宋体" w:hAnsi="宋体"/>
          <w:b/>
          <w:sz w:val="40"/>
          <w:szCs w:val="40"/>
        </w:rPr>
        <w:t>件</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b/>
          <w:bCs/>
          <w:sz w:val="32"/>
          <w:szCs w:val="32"/>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bCs/>
          <w:sz w:val="32"/>
          <w:szCs w:val="32"/>
        </w:rPr>
        <w:t>陕西省高速公路收费中心</w:t>
      </w:r>
    </w:p>
    <w:p>
      <w:pPr>
        <w:autoSpaceDE w:val="0"/>
        <w:autoSpaceDN w:val="0"/>
        <w:adjustRightInd w:val="0"/>
        <w:snapToGrid w:val="0"/>
        <w:spacing w:line="360" w:lineRule="auto"/>
        <w:jc w:val="center"/>
        <w:rPr>
          <w:rFonts w:hint="eastAsia" w:ascii="方正小标宋简体" w:eastAsia="方正小标宋简体"/>
          <w:bCs/>
          <w:spacing w:val="-6"/>
          <w:sz w:val="36"/>
          <w:szCs w:val="36"/>
        </w:rPr>
      </w:pPr>
      <w:r>
        <w:rPr>
          <w:rFonts w:hint="eastAsia" w:ascii="仿宋" w:hAnsi="仿宋" w:eastAsia="仿宋"/>
          <w:b/>
          <w:bCs/>
          <w:sz w:val="32"/>
          <w:szCs w:val="32"/>
        </w:rPr>
        <w:t>202</w:t>
      </w:r>
      <w:r>
        <w:rPr>
          <w:rFonts w:hint="eastAsia" w:ascii="仿宋" w:hAnsi="仿宋" w:eastAsia="仿宋"/>
          <w:b/>
          <w:bCs/>
          <w:sz w:val="32"/>
          <w:szCs w:val="32"/>
          <w:lang w:val="en-US" w:eastAsia="zh-CN"/>
        </w:rPr>
        <w:t>4</w:t>
      </w:r>
      <w:r>
        <w:rPr>
          <w:rFonts w:hint="eastAsia" w:ascii="仿宋" w:hAnsi="仿宋" w:eastAsia="仿宋"/>
          <w:b/>
          <w:bCs/>
          <w:sz w:val="32"/>
          <w:szCs w:val="32"/>
        </w:rPr>
        <w:t>年</w:t>
      </w:r>
      <w:r>
        <w:rPr>
          <w:rFonts w:hint="eastAsia" w:ascii="仿宋" w:hAnsi="仿宋" w:eastAsia="仿宋"/>
          <w:b/>
          <w:bCs/>
          <w:sz w:val="32"/>
          <w:szCs w:val="32"/>
          <w:lang w:val="en-US" w:eastAsia="zh-CN"/>
        </w:rPr>
        <w:t>4</w:t>
      </w:r>
      <w:r>
        <w:rPr>
          <w:rFonts w:hint="eastAsia" w:ascii="仿宋" w:hAnsi="仿宋" w:eastAsia="仿宋"/>
          <w:b/>
          <w:bCs/>
          <w:sz w:val="32"/>
          <w:szCs w:val="32"/>
        </w:rPr>
        <w:t>月</w:t>
      </w:r>
      <w:r>
        <w:rPr>
          <w:rFonts w:hint="eastAsia" w:ascii="方正小标宋简体" w:eastAsia="方正小标宋简体"/>
          <w:bCs/>
          <w:spacing w:val="-6"/>
          <w:sz w:val="36"/>
          <w:szCs w:val="36"/>
        </w:rPr>
        <w:t xml:space="preserve"> </w:t>
      </w:r>
    </w:p>
    <w:p>
      <w:pPr>
        <w:keepNext w:val="0"/>
        <w:keepLines w:val="0"/>
        <w:pageBreakBefore w:val="0"/>
        <w:widowControl w:val="0"/>
        <w:kinsoku/>
        <w:wordWrap/>
        <w:overflowPunct/>
        <w:topLinePunct w:val="0"/>
        <w:bidi w:val="0"/>
        <w:spacing w:line="640" w:lineRule="exact"/>
        <w:ind w:firstLine="0" w:firstLineChars="0"/>
        <w:jc w:val="center"/>
        <w:textAlignment w:val="auto"/>
        <w:rPr>
          <w:rFonts w:hint="eastAsia" w:ascii="方正小标宋简体" w:eastAsia="方正小标宋简体"/>
          <w:bCs/>
          <w:spacing w:val="-6"/>
          <w:sz w:val="36"/>
          <w:szCs w:val="36"/>
        </w:rPr>
        <w:sectPr>
          <w:pgSz w:w="11906" w:h="16838"/>
          <w:pgMar w:top="2098" w:right="1474" w:bottom="2155" w:left="1588"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hint="eastAsia" w:ascii="方正小标宋简体" w:eastAsia="方正小标宋简体"/>
          <w:bCs/>
          <w:spacing w:val="-6"/>
          <w:sz w:val="36"/>
          <w:szCs w:val="36"/>
        </w:rPr>
      </w:pPr>
      <w:r>
        <w:rPr>
          <w:rFonts w:hint="eastAsia" w:ascii="方正小标宋简体" w:eastAsia="方正小标宋简体"/>
          <w:bCs/>
          <w:spacing w:val="-6"/>
          <w:sz w:val="36"/>
          <w:szCs w:val="36"/>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center"/>
        <w:textAlignment w:val="auto"/>
        <w:rPr>
          <w:rFonts w:hint="eastAsia" w:ascii="方正小标宋简体" w:eastAsia="方正小标宋简体"/>
          <w:bCs/>
          <w:sz w:val="36"/>
          <w:szCs w:val="36"/>
        </w:rPr>
      </w:pPr>
      <w:bookmarkStart w:id="0" w:name="OLE_LINK3"/>
      <w:bookmarkStart w:id="1" w:name="OLE_LINK2"/>
      <w:bookmarkStart w:id="2" w:name="OLE_LINK1"/>
      <w:r>
        <w:rPr>
          <w:rFonts w:hint="eastAsia" w:ascii="方正小标宋简体" w:eastAsia="方正小标宋简体"/>
          <w:bCs/>
          <w:sz w:val="36"/>
          <w:szCs w:val="36"/>
        </w:rPr>
        <w:t>大楼北侧、副楼南侧过道混凝土路面破除重铺项目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center"/>
        <w:textAlignment w:val="auto"/>
        <w:rPr>
          <w:rFonts w:hint="eastAsia" w:ascii="方正小标宋简体" w:eastAsia="方正小标宋简体"/>
          <w:bCs/>
          <w:spacing w:val="-6"/>
          <w:sz w:val="36"/>
          <w:szCs w:val="36"/>
        </w:rPr>
      </w:pPr>
      <w:r>
        <w:rPr>
          <w:rFonts w:hint="eastAsia" w:ascii="方正小标宋简体" w:eastAsia="方正小标宋简体"/>
          <w:bCs/>
          <w:sz w:val="36"/>
          <w:szCs w:val="36"/>
        </w:rPr>
        <w:t>询价文件</w:t>
      </w:r>
    </w:p>
    <w:bookmarkEnd w:id="0"/>
    <w:bookmarkEnd w:id="1"/>
    <w:bookmarkEnd w:id="2"/>
    <w:p>
      <w:pPr>
        <w:spacing w:line="560" w:lineRule="exact"/>
        <w:ind w:firstLine="800" w:firstLineChars="25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eastAsia="方正小标宋简体"/>
          <w:bCs/>
          <w:spacing w:val="-6"/>
          <w:sz w:val="36"/>
          <w:szCs w:val="36"/>
        </w:rPr>
      </w:pPr>
      <w:r>
        <w:rPr>
          <w:rFonts w:hint="eastAsia" w:ascii="仿宋_GB2312" w:eastAsia="仿宋_GB2312"/>
          <w:sz w:val="32"/>
          <w:szCs w:val="32"/>
        </w:rPr>
        <w:t>陕西省高速公路收费中心现拟邀请询价采购方式进行大楼北侧、副楼南侧过道混凝土路面破除重铺项目采购（项目编号：SFZXXJ-2024-05），欢迎合格投标人积极参与，现将有关事项说明如下：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一、投标人需知</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本次项目采用询价采购的方式进行，具备本次询价文件要求资质的供应商方可参加本次询价，在参加询价时应提供以下资质证明文件，由询价小组进行资格审查：</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具有在国内工商管理部门注册的企业法人或者其它组织，</w:t>
      </w:r>
      <w:r>
        <w:rPr>
          <w:rFonts w:hint="eastAsia" w:ascii="仿宋_GB2312" w:eastAsia="仿宋_GB2312"/>
          <w:sz w:val="32"/>
          <w:szCs w:val="32"/>
          <w:lang w:val="en-US" w:eastAsia="zh-CN"/>
        </w:rPr>
        <w:t>陕西省政府采购网注册供应商，</w:t>
      </w:r>
      <w:r>
        <w:rPr>
          <w:rFonts w:hint="eastAsia" w:ascii="仿宋_GB2312" w:eastAsia="仿宋_GB2312"/>
          <w:sz w:val="32"/>
          <w:szCs w:val="32"/>
        </w:rPr>
        <w:t>并出具营业执照、组织机构代码证、税务登记证复印件加盖公章（三证合一的投标人只需提供营业执照复印件加盖公章）。</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2.法人授权书（原件）、企业法定代表人身份证复印件并加盖公章、被授权人身份证原件及复印件并加盖公章（企业法定代表人参加只需提供身份证）。</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color w:val="000000"/>
          <w:sz w:val="32"/>
          <w:szCs w:val="32"/>
        </w:rPr>
        <w:t>提供合同复印件不少于1份。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本项目不接受联合体投标。</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宋体" w:hAnsi="宋体"/>
          <w:sz w:val="28"/>
          <w:szCs w:val="28"/>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本项目中标人应在</w:t>
      </w:r>
      <w:r>
        <w:rPr>
          <w:rFonts w:hint="eastAsia" w:ascii="仿宋_GB2312" w:eastAsia="仿宋_GB2312"/>
          <w:color w:val="000000"/>
          <w:sz w:val="32"/>
          <w:szCs w:val="32"/>
        </w:rPr>
        <w:t>完成询价后7个工作日完成合同签订，本项目预算</w:t>
      </w:r>
      <w:r>
        <w:rPr>
          <w:rFonts w:hint="eastAsia" w:ascii="仿宋_GB2312" w:eastAsia="仿宋_GB2312"/>
          <w:color w:val="000000"/>
          <w:sz w:val="32"/>
          <w:szCs w:val="32"/>
          <w:lang w:val="en-US" w:eastAsia="zh-CN"/>
        </w:rPr>
        <w:t>8.00</w:t>
      </w:r>
      <w:r>
        <w:rPr>
          <w:rFonts w:hint="eastAsia" w:ascii="仿宋_GB2312" w:eastAsia="仿宋_GB2312"/>
          <w:color w:val="000000"/>
          <w:sz w:val="32"/>
          <w:szCs w:val="32"/>
        </w:rPr>
        <w:t>万元。</w:t>
      </w:r>
      <w:r>
        <w:rPr>
          <w:rFonts w:hint="eastAsia" w:ascii="宋体" w:hAnsi="宋体"/>
          <w:sz w:val="28"/>
          <w:szCs w:val="28"/>
        </w:rPr>
        <w:t xml:space="preserve">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委托授权书应标明委托授权起止时限，原则上委托授权时限应大于从接收询价文件至合同签订之日。一般不少于30日历天。</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二、询价文件领取：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bCs/>
          <w:sz w:val="32"/>
          <w:szCs w:val="32"/>
        </w:rPr>
        <w:t>1、领取时间</w:t>
      </w:r>
      <w:r>
        <w:rPr>
          <w:rFonts w:hint="eastAsia" w:ascii="仿宋_GB2312" w:eastAsia="仿宋_GB2312"/>
          <w:bCs/>
          <w:color w:val="000000"/>
          <w:sz w:val="32"/>
          <w:szCs w:val="32"/>
        </w:rPr>
        <w:t>：</w:t>
      </w:r>
      <w:r>
        <w:rPr>
          <w:rFonts w:hint="eastAsia" w:ascii="仿宋_GB2312" w:eastAsia="仿宋_GB2312"/>
          <w:color w:val="000000"/>
          <w:sz w:val="32"/>
          <w:szCs w:val="32"/>
        </w:rPr>
        <w:t>2024年4月2</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0至</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bookmarkStart w:id="5" w:name="_GoBack"/>
      <w:bookmarkEnd w:id="5"/>
      <w:r>
        <w:rPr>
          <w:rFonts w:hint="eastAsia" w:ascii="仿宋_GB2312" w:eastAsia="仿宋_GB2312"/>
          <w:color w:val="000000"/>
          <w:sz w:val="32"/>
          <w:szCs w:val="32"/>
        </w:rPr>
        <w:t>0</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sz w:val="32"/>
          <w:szCs w:val="32"/>
        </w:rPr>
        <w:t>2、文件领取地点：西安市未央区未央路208号</w:t>
      </w:r>
      <w:r>
        <w:rPr>
          <w:rFonts w:hint="eastAsia" w:ascii="仿宋_GB2312" w:eastAsia="仿宋_GB2312"/>
          <w:bCs/>
          <w:color w:val="000000"/>
          <w:sz w:val="32"/>
          <w:szCs w:val="32"/>
          <w:lang w:val="en-US" w:eastAsia="zh-CN"/>
        </w:rPr>
        <w:t>317</w:t>
      </w:r>
      <w:r>
        <w:rPr>
          <w:rFonts w:hint="eastAsia" w:ascii="仿宋_GB2312" w:eastAsia="仿宋_GB2312"/>
          <w:bCs/>
          <w:color w:val="000000"/>
          <w:sz w:val="32"/>
          <w:szCs w:val="32"/>
        </w:rPr>
        <w:t>办公室</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3、文件领取不收取费用。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4、领取询价文件时需携带下列资料：本人身份证原件和复印件加盖公司红色公章，以及营业执照复印件加盖公司红色公章。</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三、询价响应文件要求（必须对以下内容做出响应）</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(一)询价响应文件格式</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报价表</w:t>
      </w:r>
    </w:p>
    <w:p>
      <w:pPr>
        <w:pStyle w:val="3"/>
        <w:spacing w:after="78"/>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报价表</w:t>
      </w:r>
    </w:p>
    <w:tbl>
      <w:tblPr>
        <w:tblStyle w:val="13"/>
        <w:tblW w:w="80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19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报价项目</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金额（万元）</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1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仿宋" w:hAnsi="仿宋" w:eastAsia="仿宋" w:cs="宋体"/>
                <w:color w:val="000000"/>
                <w:kern w:val="0"/>
                <w:sz w:val="24"/>
                <w:szCs w:val="24"/>
              </w:rPr>
            </w:pPr>
            <w:bookmarkStart w:id="3" w:name="OLE_LINK7"/>
            <w:bookmarkStart w:id="4" w:name="OLE_LINK6"/>
            <w:r>
              <w:rPr>
                <w:rFonts w:hint="eastAsia" w:ascii="仿宋" w:hAnsi="仿宋" w:eastAsia="仿宋" w:cs="宋体"/>
                <w:color w:val="000000"/>
                <w:kern w:val="0"/>
                <w:sz w:val="24"/>
                <w:szCs w:val="24"/>
              </w:rPr>
              <w:t>陕西省高速公路收费中心改造中心大楼北侧、副楼南侧过道混凝土路面破除重铺项目</w:t>
            </w:r>
            <w:bookmarkEnd w:id="3"/>
            <w:bookmarkEnd w:id="4"/>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（含税）</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施工费</w:t>
            </w:r>
          </w:p>
        </w:tc>
      </w:tr>
    </w:tbl>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备注：应附分项报价，报价货币：人民币。单位：万元（精确到小数点后两位）。</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单位资质材料</w:t>
      </w:r>
    </w:p>
    <w:p>
      <w:pPr>
        <w:pStyle w:val="18"/>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投标人证照复印件加盖公章、业绩证明材料等。</w:t>
      </w:r>
    </w:p>
    <w:p>
      <w:pPr>
        <w:pStyle w:val="18"/>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 w:hAnsi="仿宋" w:eastAsia="仿宋"/>
          <w:color w:val="000000" w:themeColor="text1"/>
          <w:sz w:val="28"/>
          <w:szCs w:val="28"/>
        </w:rPr>
      </w:pPr>
      <w:r>
        <w:rPr>
          <w:rFonts w:hint="eastAsia" w:ascii="仿宋_GB2312" w:eastAsia="仿宋_GB2312"/>
          <w:sz w:val="32"/>
          <w:szCs w:val="32"/>
          <w:lang w:val="en-US" w:eastAsia="zh-CN"/>
        </w:rPr>
        <w:t>3.</w:t>
      </w:r>
      <w:r>
        <w:rPr>
          <w:rFonts w:hint="eastAsia" w:ascii="仿宋_GB2312" w:eastAsia="仿宋_GB2312"/>
          <w:sz w:val="32"/>
          <w:szCs w:val="32"/>
        </w:rPr>
        <w:t>施工及维保时间</w:t>
      </w:r>
      <w:r>
        <w:rPr>
          <w:rFonts w:hint="eastAsia" w:ascii="仿宋_GB2312" w:eastAsia="仿宋_GB2312"/>
          <w:color w:val="000000" w:themeColor="text1"/>
          <w:sz w:val="32"/>
          <w:szCs w:val="32"/>
        </w:rPr>
        <w:t>施工自合同签订之日起30日内，维护时间为甲方验收合格之日起12个月。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themeColor="text1"/>
          <w:sz w:val="32"/>
          <w:szCs w:val="32"/>
          <w:lang w:eastAsia="zh-CN"/>
        </w:rPr>
        <w:t>四、大楼北侧、副楼南侧过道混凝土路面破除重铺</w:t>
      </w:r>
      <w:r>
        <w:rPr>
          <w:rFonts w:hint="eastAsia" w:ascii="仿宋_GB2312" w:eastAsia="仿宋_GB2312"/>
          <w:color w:val="000000" w:themeColor="text1"/>
          <w:sz w:val="32"/>
          <w:szCs w:val="32"/>
          <w:lang w:val="en-US" w:eastAsia="zh-CN"/>
        </w:rPr>
        <w:t>项目</w:t>
      </w:r>
      <w:r>
        <w:rPr>
          <w:rFonts w:hint="eastAsia" w:ascii="仿宋_GB2312" w:eastAsia="仿宋_GB2312"/>
          <w:color w:val="000000" w:themeColor="text1"/>
          <w:sz w:val="32"/>
          <w:szCs w:val="32"/>
        </w:rPr>
        <w:t>基本情况</w:t>
      </w:r>
      <w:r>
        <w:rPr>
          <w:rFonts w:hint="eastAsia" w:ascii="仿宋_GB2312" w:eastAsia="仿宋_GB2312"/>
          <w:color w:val="000000" w:themeColor="text1"/>
          <w:sz w:val="32"/>
          <w:szCs w:val="32"/>
          <w:lang w:eastAsia="zh-CN"/>
        </w:rPr>
        <w:t>。</w:t>
      </w:r>
      <w:r>
        <w:rPr>
          <w:rFonts w:hint="eastAsia" w:ascii="仿宋_GB2312" w:hAnsi="仿宋_GB2312" w:eastAsia="仿宋_GB2312" w:cs="仿宋_GB2312"/>
          <w:sz w:val="32"/>
          <w:szCs w:val="32"/>
          <w:lang w:eastAsia="zh-CN"/>
        </w:rPr>
        <w:t>实施以下改造内容：一是</w:t>
      </w:r>
      <w:r>
        <w:rPr>
          <w:rFonts w:hint="default" w:ascii="仿宋_GB2312" w:hAnsi="仿宋_GB2312" w:eastAsia="仿宋_GB2312" w:cs="仿宋_GB2312"/>
          <w:sz w:val="32"/>
          <w:szCs w:val="32"/>
        </w:rPr>
        <w:t>拆除破损</w:t>
      </w:r>
      <w:r>
        <w:rPr>
          <w:rFonts w:hint="eastAsia" w:ascii="仿宋_GB2312" w:hAnsi="仿宋_GB2312" w:eastAsia="仿宋_GB2312" w:cs="仿宋_GB2312"/>
          <w:sz w:val="32"/>
          <w:szCs w:val="32"/>
        </w:rPr>
        <w:t>通道</w:t>
      </w:r>
      <w:r>
        <w:rPr>
          <w:rFonts w:hint="default" w:ascii="仿宋_GB2312" w:hAnsi="仿宋_GB2312" w:eastAsia="仿宋_GB2312" w:cs="仿宋_GB2312"/>
          <w:sz w:val="32"/>
          <w:szCs w:val="32"/>
        </w:rPr>
        <w:t>西侧地面，</w:t>
      </w:r>
      <w:r>
        <w:rPr>
          <w:rFonts w:hint="eastAsia" w:ascii="仿宋_GB2312" w:hAnsi="仿宋_GB2312" w:eastAsia="仿宋_GB2312" w:cs="仿宋_GB2312"/>
          <w:sz w:val="32"/>
          <w:szCs w:val="32"/>
          <w:lang w:val="en-US" w:eastAsia="zh-CN"/>
        </w:rPr>
        <w:t>重新</w:t>
      </w:r>
      <w:r>
        <w:rPr>
          <w:rFonts w:hint="eastAsia" w:ascii="仿宋_GB2312" w:hAnsi="仿宋_GB2312" w:eastAsia="仿宋_GB2312" w:cs="仿宋_GB2312"/>
          <w:sz w:val="32"/>
          <w:szCs w:val="32"/>
        </w:rPr>
        <w:t>浇筑混凝</w:t>
      </w:r>
      <w:r>
        <w:rPr>
          <w:rFonts w:hint="eastAsia" w:ascii="仿宋_GB2312" w:hAnsi="仿宋_GB2312" w:eastAsia="仿宋_GB2312" w:cs="仿宋_GB2312"/>
          <w:sz w:val="32"/>
          <w:szCs w:val="32"/>
          <w:lang w:val="en-US" w:eastAsia="zh-CN"/>
        </w:rPr>
        <w:t>土，</w:t>
      </w:r>
      <w:r>
        <w:rPr>
          <w:rFonts w:hint="default" w:ascii="仿宋_GB2312" w:hAnsi="仿宋_GB2312" w:eastAsia="仿宋_GB2312" w:cs="仿宋_GB2312"/>
          <w:sz w:val="32"/>
          <w:szCs w:val="32"/>
        </w:rPr>
        <w:t>确保地面平整、耐用</w:t>
      </w:r>
      <w:r>
        <w:rPr>
          <w:rFonts w:hint="eastAsia" w:ascii="仿宋_GB2312" w:hAnsi="仿宋_GB2312" w:eastAsia="仿宋_GB2312" w:cs="仿宋_GB2312"/>
          <w:sz w:val="32"/>
          <w:szCs w:val="32"/>
          <w:lang w:eastAsia="zh-CN"/>
        </w:rPr>
        <w:t>；二是</w:t>
      </w:r>
      <w:r>
        <w:rPr>
          <w:rFonts w:hint="default" w:ascii="仿宋_GB2312" w:hAnsi="仿宋_GB2312" w:eastAsia="仿宋_GB2312" w:cs="仿宋_GB2312"/>
          <w:sz w:val="32"/>
          <w:szCs w:val="32"/>
        </w:rPr>
        <w:t>对花坛进行整体规划，</w:t>
      </w:r>
      <w:r>
        <w:rPr>
          <w:rFonts w:hint="eastAsia" w:ascii="仿宋_GB2312" w:hAnsi="仿宋_GB2312" w:eastAsia="仿宋_GB2312" w:cs="仿宋_GB2312"/>
          <w:sz w:val="32"/>
          <w:szCs w:val="32"/>
          <w:lang w:val="en-US" w:eastAsia="zh-CN"/>
        </w:rPr>
        <w:t>移除</w:t>
      </w:r>
      <w:r>
        <w:rPr>
          <w:rFonts w:hint="default" w:ascii="仿宋_GB2312" w:hAnsi="仿宋_GB2312" w:eastAsia="仿宋_GB2312" w:cs="仿宋_GB2312"/>
          <w:sz w:val="32"/>
          <w:szCs w:val="32"/>
        </w:rPr>
        <w:t>枯萎植物</w:t>
      </w:r>
      <w:r>
        <w:rPr>
          <w:rFonts w:hint="eastAsia" w:ascii="仿宋_GB2312" w:hAnsi="仿宋_GB2312" w:eastAsia="仿宋_GB2312" w:cs="仿宋_GB2312"/>
          <w:sz w:val="32"/>
          <w:szCs w:val="32"/>
          <w:lang w:eastAsia="zh-CN"/>
        </w:rPr>
        <w:t>；三是</w:t>
      </w:r>
      <w:r>
        <w:rPr>
          <w:rFonts w:hint="default" w:ascii="仿宋_GB2312" w:hAnsi="仿宋_GB2312" w:eastAsia="仿宋_GB2312" w:cs="仿宋_GB2312"/>
          <w:sz w:val="32"/>
          <w:szCs w:val="32"/>
        </w:rPr>
        <w:t>增设</w:t>
      </w:r>
      <w:r>
        <w:rPr>
          <w:rFonts w:hint="eastAsia" w:ascii="仿宋_GB2312" w:hAnsi="仿宋_GB2312" w:eastAsia="仿宋_GB2312" w:cs="仿宋_GB2312"/>
          <w:sz w:val="32"/>
          <w:szCs w:val="32"/>
          <w:lang w:val="en-US" w:eastAsia="zh-CN"/>
        </w:rPr>
        <w:t>铁艺设施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与小区进行有效隔离，同时</w:t>
      </w:r>
      <w:r>
        <w:rPr>
          <w:rFonts w:hint="default" w:ascii="仿宋_GB2312" w:hAnsi="仿宋_GB2312" w:eastAsia="仿宋_GB2312" w:cs="仿宋_GB2312"/>
          <w:sz w:val="32"/>
          <w:szCs w:val="32"/>
        </w:rPr>
        <w:t>提升花坛的观赏性和实用性。</w:t>
      </w:r>
      <w:r>
        <w:rPr>
          <w:rFonts w:hint="eastAsia" w:ascii="仿宋_GB2312" w:hAnsi="仿宋_GB2312" w:eastAsia="仿宋_GB2312" w:cs="仿宋_GB2312"/>
          <w:sz w:val="32"/>
          <w:szCs w:val="32"/>
          <w:lang w:eastAsia="zh-CN"/>
        </w:rPr>
        <w:t>以上</w:t>
      </w:r>
      <w:r>
        <w:rPr>
          <w:rFonts w:hint="default" w:ascii="仿宋_GB2312" w:hAnsi="仿宋_GB2312" w:eastAsia="仿宋_GB2312" w:cs="仿宋_GB2312"/>
          <w:sz w:val="32"/>
          <w:szCs w:val="32"/>
        </w:rPr>
        <w:t>改造</w:t>
      </w:r>
      <w:r>
        <w:rPr>
          <w:rFonts w:hint="eastAsia" w:ascii="仿宋_GB2312" w:hAnsi="仿宋_GB2312" w:eastAsia="仿宋_GB2312" w:cs="仿宋_GB2312"/>
          <w:sz w:val="32"/>
          <w:szCs w:val="32"/>
          <w:lang w:val="en-US" w:eastAsia="zh-CN"/>
        </w:rPr>
        <w:t>范围涉及</w:t>
      </w:r>
      <w:r>
        <w:rPr>
          <w:rFonts w:hint="eastAsia" w:ascii="仿宋_GB2312" w:hAnsi="仿宋_GB2312" w:eastAsia="仿宋_GB2312" w:cs="仿宋_GB2312"/>
          <w:sz w:val="32"/>
          <w:szCs w:val="32"/>
        </w:rPr>
        <w:t>花园480平方米，通道浇筑混凝土78平方米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w:t>
      </w:r>
      <w:r>
        <w:rPr>
          <w:rFonts w:hint="default" w:ascii="仿宋_GB2312" w:hAnsi="仿宋_GB2312" w:eastAsia="仿宋_GB2312" w:cs="仿宋_GB2312"/>
          <w:sz w:val="32"/>
          <w:szCs w:val="32"/>
        </w:rPr>
        <w:t>高度为1.5米</w:t>
      </w:r>
      <w:r>
        <w:rPr>
          <w:rFonts w:hint="eastAsia" w:ascii="仿宋_GB2312" w:hAnsi="仿宋_GB2312" w:eastAsia="仿宋_GB2312" w:cs="仿宋_GB2312"/>
          <w:sz w:val="32"/>
          <w:szCs w:val="32"/>
          <w:lang w:eastAsia="zh-CN"/>
        </w:rPr>
        <w:t>以上</w:t>
      </w:r>
      <w:r>
        <w:rPr>
          <w:rFonts w:hint="default" w:ascii="仿宋_GB2312" w:hAnsi="仿宋_GB2312" w:eastAsia="仿宋_GB2312" w:cs="仿宋_GB2312"/>
          <w:sz w:val="32"/>
          <w:szCs w:val="32"/>
        </w:rPr>
        <w:t>的铁艺栏杆38.4米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具体改造</w:t>
      </w:r>
      <w:r>
        <w:rPr>
          <w:rFonts w:hint="eastAsia" w:ascii="仿宋_GB2312" w:hAnsi="仿宋_GB2312" w:eastAsia="仿宋_GB2312" w:cs="仿宋_GB2312"/>
          <w:sz w:val="32"/>
          <w:szCs w:val="32"/>
        </w:rPr>
        <w:t>事项如下：</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原有场地清理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灌木及垃圾清除</w:t>
      </w:r>
      <w:r>
        <w:rPr>
          <w:rFonts w:hint="eastAsia" w:ascii="仿宋_GB2312" w:eastAsia="仿宋_GB2312"/>
          <w:sz w:val="32"/>
          <w:szCs w:val="32"/>
          <w:lang w:eastAsia="zh-CN"/>
        </w:rPr>
        <w:t>，</w:t>
      </w:r>
      <w:r>
        <w:rPr>
          <w:rFonts w:hint="default" w:ascii="仿宋_GB2312" w:eastAsia="仿宋_GB2312"/>
          <w:sz w:val="32"/>
          <w:szCs w:val="32"/>
        </w:rPr>
        <w:t>原场地内的灌木和垃圾需进行全面清除，涉及面积共计263平方米</w:t>
      </w:r>
      <w:r>
        <w:rPr>
          <w:rFonts w:hint="eastAsia" w:ascii="仿宋_GB2312" w:eastAsia="仿宋_GB2312"/>
          <w:sz w:val="32"/>
          <w:szCs w:val="32"/>
          <w:lang w:eastAsia="zh-CN"/>
        </w:rPr>
        <w:t>；</w:t>
      </w:r>
      <w:r>
        <w:rPr>
          <w:rFonts w:hint="default" w:ascii="仿宋_GB2312" w:eastAsia="仿宋_GB2312"/>
          <w:sz w:val="32"/>
          <w:szCs w:val="32"/>
        </w:rPr>
        <w:t>柳树及杂树挖除</w:t>
      </w:r>
      <w:r>
        <w:rPr>
          <w:rFonts w:hint="eastAsia" w:ascii="仿宋_GB2312" w:eastAsia="仿宋_GB2312"/>
          <w:sz w:val="32"/>
          <w:szCs w:val="32"/>
          <w:lang w:eastAsia="zh-CN"/>
        </w:rPr>
        <w:t>，</w:t>
      </w:r>
      <w:r>
        <w:rPr>
          <w:rFonts w:hint="default" w:ascii="仿宋_GB2312" w:eastAsia="仿宋_GB2312"/>
          <w:sz w:val="32"/>
          <w:szCs w:val="32"/>
        </w:rPr>
        <w:t>原有场地内的柳树和杂树共计3株，进行挖除处理。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default" w:ascii="仿宋_GB2312" w:eastAsia="仿宋_GB2312"/>
          <w:sz w:val="32"/>
          <w:szCs w:val="32"/>
          <w:lang w:eastAsia="zh-CN"/>
        </w:rPr>
        <w:t>园路石材铺贴</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eastAsia="zh-CN"/>
        </w:rPr>
      </w:pPr>
      <w:r>
        <w:rPr>
          <w:rFonts w:hint="default" w:ascii="仿宋_GB2312" w:eastAsia="仿宋_GB2312"/>
          <w:sz w:val="32"/>
          <w:szCs w:val="32"/>
        </w:rPr>
        <w:t>园路石材铺贴：采用600</w:t>
      </w:r>
      <w:r>
        <w:rPr>
          <w:rFonts w:hint="eastAsia" w:ascii="仿宋_GB2312" w:eastAsia="仿宋_GB2312"/>
          <w:sz w:val="32"/>
          <w:szCs w:val="32"/>
          <w:lang w:val="en-US" w:eastAsia="zh-CN"/>
        </w:rPr>
        <w:t>*</w:t>
      </w:r>
      <w:r>
        <w:rPr>
          <w:rFonts w:hint="default" w:ascii="仿宋_GB2312" w:eastAsia="仿宋_GB2312"/>
          <w:sz w:val="32"/>
          <w:szCs w:val="32"/>
        </w:rPr>
        <w:t>300</w:t>
      </w:r>
      <w:r>
        <w:rPr>
          <w:rFonts w:hint="eastAsia" w:ascii="仿宋_GB2312" w:eastAsia="仿宋_GB2312"/>
          <w:sz w:val="32"/>
          <w:szCs w:val="32"/>
          <w:lang w:eastAsia="zh-CN"/>
        </w:rPr>
        <w:t>，</w:t>
      </w:r>
      <w:r>
        <w:rPr>
          <w:rFonts w:hint="default" w:ascii="仿宋_GB2312" w:eastAsia="仿宋_GB2312"/>
          <w:sz w:val="32"/>
          <w:szCs w:val="32"/>
        </w:rPr>
        <w:t>12mm厚的芝麻白仿石材进行铺贴</w:t>
      </w:r>
      <w:r>
        <w:rPr>
          <w:rFonts w:hint="eastAsia" w:ascii="仿宋_GB2312" w:eastAsia="仿宋_GB2312"/>
          <w:sz w:val="32"/>
          <w:szCs w:val="32"/>
          <w:lang w:val="en-US" w:eastAsia="zh-CN"/>
        </w:rPr>
        <w:t>下垫垫层</w:t>
      </w:r>
      <w:r>
        <w:rPr>
          <w:rFonts w:hint="default" w:ascii="仿宋_GB2312" w:eastAsia="仿宋_GB2312"/>
          <w:sz w:val="32"/>
          <w:szCs w:val="32"/>
        </w:rPr>
        <w:t>，共计26平方米</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汀步石铺设：使用600</w:t>
      </w:r>
      <w:r>
        <w:rPr>
          <w:rFonts w:hint="eastAsia" w:ascii="仿宋_GB2312" w:eastAsia="仿宋_GB2312"/>
          <w:sz w:val="32"/>
          <w:szCs w:val="32"/>
          <w:lang w:val="en-US" w:eastAsia="zh-CN"/>
        </w:rPr>
        <w:t>*</w:t>
      </w:r>
      <w:r>
        <w:rPr>
          <w:rFonts w:hint="default" w:ascii="仿宋_GB2312" w:eastAsia="仿宋_GB2312"/>
          <w:sz w:val="32"/>
          <w:szCs w:val="32"/>
        </w:rPr>
        <w:t>300</w:t>
      </w:r>
      <w:r>
        <w:rPr>
          <w:rFonts w:hint="eastAsia" w:ascii="仿宋_GB2312" w:eastAsia="仿宋_GB2312"/>
          <w:sz w:val="32"/>
          <w:szCs w:val="32"/>
          <w:lang w:eastAsia="zh-CN"/>
        </w:rPr>
        <w:t>，</w:t>
      </w:r>
      <w:r>
        <w:rPr>
          <w:rFonts w:hint="default" w:ascii="仿宋_GB2312" w:eastAsia="仿宋_GB2312"/>
          <w:sz w:val="32"/>
          <w:szCs w:val="32"/>
        </w:rPr>
        <w:t>50mm厚的芝麻灰石材进行汀步石铺设，中间铺设砾石，共计24.3平方米。</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default" w:ascii="仿宋_GB2312" w:eastAsia="仿宋_GB2312"/>
          <w:sz w:val="32"/>
          <w:szCs w:val="32"/>
          <w:lang w:eastAsia="zh-CN"/>
        </w:rPr>
        <w:t>土壤改良</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计划对场地内的土壤进行有机肥改良</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default" w:ascii="仿宋_GB2312" w:eastAsia="仿宋_GB2312"/>
          <w:sz w:val="32"/>
          <w:szCs w:val="32"/>
          <w:lang w:eastAsia="zh-CN"/>
        </w:rPr>
        <w:t>铁艺设施安装</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安装高度为1.5米的铁艺栏杆，总长度为38.4米</w:t>
      </w:r>
      <w:r>
        <w:rPr>
          <w:rFonts w:hint="eastAsia" w:ascii="仿宋_GB2312" w:eastAsia="仿宋_GB2312"/>
          <w:sz w:val="32"/>
          <w:szCs w:val="32"/>
          <w:lang w:eastAsia="zh-CN"/>
        </w:rPr>
        <w:t>；</w:t>
      </w:r>
      <w:r>
        <w:rPr>
          <w:rFonts w:hint="default" w:ascii="仿宋_GB2312" w:eastAsia="仿宋_GB2312"/>
          <w:sz w:val="32"/>
          <w:szCs w:val="32"/>
        </w:rPr>
        <w:t>一套1.6*1.5米带有人脸识别功能的铁艺门。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default" w:ascii="仿宋_GB2312" w:eastAsia="仿宋_GB2312"/>
          <w:sz w:val="32"/>
          <w:szCs w:val="32"/>
          <w:lang w:eastAsia="zh-CN"/>
        </w:rPr>
        <w:t>消防通道建设</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rPr>
        <w:t>混凝土地面铺设：消防通道采用100mm厚C25混凝土地面，铺设面积为78平方米</w:t>
      </w:r>
      <w:r>
        <w:rPr>
          <w:rFonts w:hint="eastAsia" w:ascii="仿宋_GB2312" w:eastAsia="仿宋_GB2312"/>
          <w:sz w:val="32"/>
          <w:szCs w:val="32"/>
          <w:lang w:eastAsia="zh-CN"/>
        </w:rPr>
        <w:t>；</w:t>
      </w:r>
      <w:r>
        <w:rPr>
          <w:rFonts w:hint="eastAsia" w:ascii="仿宋_GB2312" w:eastAsia="仿宋_GB2312"/>
          <w:sz w:val="32"/>
          <w:szCs w:val="32"/>
          <w:lang w:val="en-US" w:eastAsia="zh-CN"/>
        </w:rPr>
        <w:t>消防通道周围</w:t>
      </w:r>
      <w:r>
        <w:rPr>
          <w:rFonts w:hint="default" w:ascii="仿宋_GB2312" w:eastAsia="仿宋_GB2312"/>
          <w:sz w:val="32"/>
          <w:szCs w:val="32"/>
        </w:rPr>
        <w:t>原铁艺栏杆拆除</w:t>
      </w:r>
      <w:r>
        <w:rPr>
          <w:rFonts w:hint="eastAsia" w:ascii="仿宋_GB2312" w:eastAsia="仿宋_GB2312"/>
          <w:sz w:val="32"/>
          <w:szCs w:val="32"/>
          <w:lang w:val="en-US" w:eastAsia="zh-CN"/>
        </w:rPr>
        <w:t>并根据布局</w:t>
      </w:r>
      <w:r>
        <w:rPr>
          <w:rFonts w:hint="default" w:ascii="仿宋_GB2312" w:eastAsia="仿宋_GB2312"/>
          <w:sz w:val="32"/>
          <w:szCs w:val="32"/>
        </w:rPr>
        <w:t>重新安装</w:t>
      </w:r>
      <w:r>
        <w:rPr>
          <w:rFonts w:hint="eastAsia" w:ascii="仿宋_GB2312" w:eastAsia="仿宋_GB2312"/>
          <w:sz w:val="32"/>
          <w:szCs w:val="32"/>
          <w:lang w:eastAsia="zh-CN"/>
        </w:rPr>
        <w:t>；</w:t>
      </w:r>
      <w:r>
        <w:rPr>
          <w:rFonts w:hint="eastAsia" w:ascii="仿宋_GB2312" w:eastAsia="仿宋_GB2312"/>
          <w:sz w:val="32"/>
          <w:szCs w:val="32"/>
          <w:lang w:val="en-US" w:eastAsia="zh-CN"/>
        </w:rPr>
        <w:t>安装</w:t>
      </w:r>
      <w:r>
        <w:rPr>
          <w:rFonts w:hint="default" w:ascii="仿宋_GB2312" w:eastAsia="仿宋_GB2312"/>
          <w:sz w:val="32"/>
          <w:szCs w:val="32"/>
        </w:rPr>
        <w:t>同原有道牙</w:t>
      </w:r>
      <w:r>
        <w:rPr>
          <w:rFonts w:hint="eastAsia" w:ascii="仿宋_GB2312" w:eastAsia="仿宋_GB2312"/>
          <w:sz w:val="32"/>
          <w:szCs w:val="32"/>
          <w:lang w:val="en-US" w:eastAsia="zh-CN"/>
        </w:rPr>
        <w:t>相同样式道牙13米。</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default" w:ascii="仿宋_GB2312" w:eastAsia="仿宋_GB2312"/>
          <w:sz w:val="32"/>
          <w:szCs w:val="32"/>
          <w:lang w:eastAsia="zh-CN"/>
        </w:rPr>
        <w:t>树枝及垃圾外运</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rPr>
        <w:t>将修剪下来的树枝及现场产生的垃圾进行外运处理</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（七）安全责任，施工中产生的任何安全责任事故均有承包方自行承担。发包方不承担任何责任。对于现场成品造成损坏，承包方应无条件进行修复或更换。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（八）工期20天。自合同双方签字之日起开始计算。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sz w:val="32"/>
          <w:szCs w:val="32"/>
          <w:lang w:eastAsia="zh-CN"/>
        </w:rPr>
        <w:t>五</w:t>
      </w:r>
      <w:r>
        <w:rPr>
          <w:rFonts w:hint="eastAsia" w:ascii="仿宋_GB2312" w:eastAsia="仿宋_GB2312"/>
          <w:sz w:val="32"/>
          <w:szCs w:val="32"/>
        </w:rPr>
        <w:t>、询价响应文件编写需知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供应商应在响应文件中的报价上按要求标明完成本项目的所有费用总计，任何有选择的报价不予接受。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凡因供应商对询价文件阅读不深、理解不透、误解、疏漏或因市场行情了解不清造成的后果和风险均由各供应商自负。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报价语言：汉语语言文字。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询价期间各供应商所发生的一切费用自理。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本项目为一个整包。</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询价响应文件</w:t>
      </w:r>
      <w:r>
        <w:rPr>
          <w:rFonts w:hint="eastAsia" w:ascii="仿宋_GB2312" w:eastAsia="仿宋_GB2312"/>
          <w:color w:val="000000"/>
          <w:sz w:val="32"/>
          <w:szCs w:val="32"/>
        </w:rPr>
        <w:t>的服务内容必须按照行业相关标准执行，设备故障、损毁时更换零部件需与原设备配套或优于原设备需求。全套响应文件应</w:t>
      </w:r>
      <w:r>
        <w:rPr>
          <w:rFonts w:hint="eastAsia" w:ascii="仿宋_GB2312" w:eastAsia="仿宋_GB2312"/>
          <w:sz w:val="32"/>
          <w:szCs w:val="32"/>
        </w:rPr>
        <w:t>无涂改和行间插字，投标人造成的必须修改的错误，修改处应加盖投标人公章。</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密封袋应加盖单位公章，在封面上标明采购人名称、项目名称、编号、报价人名称和于</w:t>
      </w:r>
      <w:r>
        <w:rPr>
          <w:rFonts w:hint="eastAsia" w:ascii="仿宋_GB2312" w:eastAsia="仿宋_GB2312"/>
          <w:color w:val="000000"/>
          <w:sz w:val="32"/>
          <w:szCs w:val="32"/>
        </w:rPr>
        <w:t>“2024年4月30日</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时</w:t>
      </w:r>
      <w:r>
        <w:rPr>
          <w:rFonts w:hint="eastAsia" w:ascii="仿宋_GB2312" w:eastAsia="仿宋_GB2312"/>
          <w:color w:val="000000"/>
          <w:sz w:val="32"/>
          <w:szCs w:val="32"/>
        </w:rPr>
        <w:t>之前不得开启的字样”。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六、询价响应文件的提交： </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询价响应文件提交截止时间</w:t>
      </w:r>
      <w:r>
        <w:rPr>
          <w:rFonts w:hint="eastAsia" w:ascii="仿宋_GB2312" w:eastAsia="仿宋_GB2312"/>
          <w:color w:val="000000"/>
          <w:sz w:val="32"/>
          <w:szCs w:val="32"/>
        </w:rPr>
        <w:t>：2024年4月30日</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0，截止时间后，统一进行拆封。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询价时间：</w:t>
      </w:r>
      <w:r>
        <w:rPr>
          <w:rFonts w:hint="eastAsia" w:ascii="仿宋_GB2312" w:eastAsia="仿宋_GB2312"/>
          <w:color w:val="000000"/>
          <w:sz w:val="32"/>
          <w:szCs w:val="32"/>
        </w:rPr>
        <w:t>2024年4月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15:00</w:t>
      </w:r>
      <w:r>
        <w:rPr>
          <w:rFonts w:hint="eastAsia" w:ascii="仿宋_GB2312" w:eastAsia="仿宋_GB2312"/>
          <w:color w:val="000000"/>
          <w:sz w:val="32"/>
          <w:szCs w:val="32"/>
        </w:rPr>
        <w:t>开</w:t>
      </w:r>
      <w:r>
        <w:rPr>
          <w:rFonts w:hint="eastAsia" w:ascii="仿宋_GB2312" w:eastAsia="仿宋_GB2312"/>
          <w:sz w:val="32"/>
          <w:szCs w:val="32"/>
        </w:rPr>
        <w:t>始至询价结束。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询价地点：陕西省高速公路收费中心407会议室。</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超过询价响应文件提交截止时间提交的文件不予接受。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七、资格审查</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询价开始后，采购人组建的询价小组（询价小组由收费中心3人组成评判小组)，监审</w:t>
      </w:r>
      <w:r>
        <w:rPr>
          <w:rFonts w:hint="eastAsia" w:ascii="仿宋_GB2312" w:eastAsia="仿宋_GB2312"/>
          <w:sz w:val="32"/>
          <w:szCs w:val="32"/>
          <w:lang w:eastAsia="zh-CN"/>
        </w:rPr>
        <w:t>部门</w:t>
      </w:r>
      <w:r>
        <w:rPr>
          <w:rFonts w:hint="eastAsia" w:ascii="仿宋_GB2312" w:eastAsia="仿宋_GB2312"/>
          <w:sz w:val="32"/>
          <w:szCs w:val="32"/>
        </w:rPr>
        <w:t>负责监标,对报价人提供的下列资料进行审验，审验合格者接受报价，否则拒绝其报价。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法定代表人本人身份证(或法定代表人授权委托书和委托代理人身份证)；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有效的企业资质证明文件；</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合同复印件不少于1个项目，复印件能清晰的表明合同双方名称、项目内容和签署日期。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八、成交原则</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采购人将依据《政府采购法》的相关规定成立询价小组，对所有报价人的报价文件进行评审。</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该项报价一经询价小组认可，即为签约的合同价。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报价人提交的询价相应文件，将作为合同的组成部分。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采购人将询价小组确认的中标候选人作为中标人，并现场通报所有报价人询价结果，未中标供应商无质疑后，方可通知中标人为供应商。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九、合同支付</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合同签订以后，乙方提供合规票据，甲方支付合同金额的</w:t>
      </w:r>
      <w:r>
        <w:rPr>
          <w:rFonts w:hint="default" w:ascii="仿宋_GB2312" w:eastAsia="仿宋_GB2312"/>
          <w:sz w:val="32"/>
          <w:szCs w:val="32"/>
          <w:lang w:eastAsia="zh-CN"/>
        </w:rPr>
        <w:t>40</w:t>
      </w:r>
      <w:r>
        <w:rPr>
          <w:rFonts w:hint="eastAsia" w:ascii="仿宋_GB2312" w:eastAsia="仿宋_GB2312"/>
          <w:sz w:val="32"/>
          <w:szCs w:val="32"/>
          <w:lang w:val="en-US" w:eastAsia="zh-CN"/>
        </w:rPr>
        <w:t>%，待项目验收合格15个工作日内甲方支付剩余的</w:t>
      </w:r>
      <w:r>
        <w:rPr>
          <w:rFonts w:hint="default" w:ascii="仿宋_GB2312" w:eastAsia="仿宋_GB2312"/>
          <w:sz w:val="32"/>
          <w:szCs w:val="32"/>
          <w:lang w:eastAsia="zh-CN"/>
        </w:rPr>
        <w:t>60</w:t>
      </w:r>
      <w:r>
        <w:rPr>
          <w:rFonts w:hint="eastAsia" w:ascii="仿宋_GB2312" w:eastAsia="仿宋_GB2312"/>
          <w:sz w:val="32"/>
          <w:szCs w:val="32"/>
          <w:lang w:val="en-US" w:eastAsia="zh-CN"/>
        </w:rPr>
        <w:t>%合同金额。</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、其他说明事项：</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采购项目联系人：</w:t>
      </w:r>
      <w:r>
        <w:rPr>
          <w:rFonts w:hint="eastAsia" w:ascii="仿宋_GB2312" w:eastAsia="仿宋_GB2312"/>
          <w:sz w:val="32"/>
          <w:szCs w:val="32"/>
          <w:lang w:val="en-US" w:eastAsia="zh-CN"/>
        </w:rPr>
        <w:t>黄悦</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联系方式（电话）：029-8653</w:t>
      </w:r>
      <w:r>
        <w:rPr>
          <w:rFonts w:hint="eastAsia" w:ascii="仿宋_GB2312" w:eastAsia="仿宋_GB2312"/>
          <w:sz w:val="32"/>
          <w:szCs w:val="32"/>
          <w:lang w:val="en-US" w:eastAsia="zh-CN"/>
        </w:rPr>
        <w:t>1101</w:t>
      </w:r>
    </w:p>
    <w:p>
      <w:pPr>
        <w:keepNext w:val="0"/>
        <w:keepLines w:val="0"/>
        <w:pageBreakBefore w:val="0"/>
        <w:widowControl w:val="0"/>
        <w:kinsoku/>
        <w:wordWrap/>
        <w:overflowPunct/>
        <w:topLinePunct w:val="0"/>
        <w:bidi w:val="0"/>
        <w:spacing w:line="620" w:lineRule="exact"/>
        <w:ind w:firstLine="4480" w:firstLineChars="14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620" w:lineRule="exact"/>
        <w:ind w:firstLine="4480" w:firstLineChars="14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620" w:lineRule="exact"/>
        <w:ind w:firstLine="4480" w:firstLineChars="14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620" w:lineRule="exact"/>
        <w:ind w:firstLine="3840" w:firstLineChars="1200"/>
        <w:jc w:val="both"/>
        <w:textAlignment w:val="auto"/>
        <w:rPr>
          <w:rFonts w:hint="eastAsia" w:ascii="仿宋_GB2312" w:eastAsia="仿宋_GB2312"/>
          <w:sz w:val="32"/>
          <w:szCs w:val="32"/>
        </w:rPr>
      </w:pPr>
      <w:r>
        <w:rPr>
          <w:rFonts w:hint="eastAsia" w:ascii="仿宋_GB2312" w:eastAsia="仿宋_GB2312"/>
          <w:sz w:val="32"/>
          <w:szCs w:val="32"/>
        </w:rPr>
        <w:t>陕西省高速公路收费中心</w:t>
      </w:r>
    </w:p>
    <w:p>
      <w:pPr>
        <w:keepNext w:val="0"/>
        <w:keepLines w:val="0"/>
        <w:pageBreakBefore w:val="0"/>
        <w:widowControl w:val="0"/>
        <w:kinsoku/>
        <w:wordWrap/>
        <w:overflowPunct/>
        <w:topLinePunct w:val="0"/>
        <w:bidi w:val="0"/>
        <w:spacing w:line="620" w:lineRule="exact"/>
        <w:ind w:left="0" w:leftChars="0" w:firstLine="4480" w:firstLineChars="1400"/>
        <w:jc w:val="both"/>
        <w:textAlignment w:val="auto"/>
      </w:pPr>
      <w:r>
        <w:rPr>
          <w:rFonts w:hint="eastAsia" w:ascii="仿宋_GB2312" w:eastAsia="仿宋_GB2312"/>
          <w:sz w:val="32"/>
          <w:szCs w:val="32"/>
        </w:rPr>
        <w:t>2024年4月</w:t>
      </w:r>
      <w:r>
        <w:rPr>
          <w:rFonts w:hint="eastAsia" w:ascii="仿宋_GB2312" w:eastAsia="仿宋_GB2312"/>
          <w:sz w:val="32"/>
          <w:szCs w:val="32"/>
          <w:lang w:val="en-US" w:eastAsia="zh-CN"/>
        </w:rPr>
        <w:t>24</w:t>
      </w:r>
      <w:r>
        <w:rPr>
          <w:rFonts w:hint="eastAsia" w:ascii="仿宋_GB2312" w:eastAsia="仿宋_GB2312"/>
          <w:sz w:val="32"/>
          <w:szCs w:val="32"/>
        </w:rPr>
        <w:t>日</w:t>
      </w: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155"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9"/>
                            <w:rPr>
                              <w:rStyle w:val="16"/>
                            </w:rPr>
                          </w:pPr>
                        </w:p>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9"/>
                      <w:rPr>
                        <w:rStyle w:val="16"/>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4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44:8080/weaver/weaver.file.FileDownloadForNews?uuid=58d17eb4-3cd0-46bb-8cb0-c70076b3c78c&amp;fileid=2857&amp;type=showMould&amp;isofficeview=0"/>
  </w:docVars>
  <w:rsids>
    <w:rsidRoot w:val="00721483"/>
    <w:rsid w:val="00001539"/>
    <w:rsid w:val="00010391"/>
    <w:rsid w:val="00020B48"/>
    <w:rsid w:val="00027745"/>
    <w:rsid w:val="00037C6A"/>
    <w:rsid w:val="000431E8"/>
    <w:rsid w:val="00046F23"/>
    <w:rsid w:val="00047574"/>
    <w:rsid w:val="00051B27"/>
    <w:rsid w:val="0005708B"/>
    <w:rsid w:val="00072C14"/>
    <w:rsid w:val="00076B68"/>
    <w:rsid w:val="000811EB"/>
    <w:rsid w:val="0008238C"/>
    <w:rsid w:val="000931EE"/>
    <w:rsid w:val="00093CB0"/>
    <w:rsid w:val="0009407C"/>
    <w:rsid w:val="00095E36"/>
    <w:rsid w:val="0009635E"/>
    <w:rsid w:val="000968D3"/>
    <w:rsid w:val="000A1027"/>
    <w:rsid w:val="000A20C4"/>
    <w:rsid w:val="000A70B9"/>
    <w:rsid w:val="000A7C38"/>
    <w:rsid w:val="000B5366"/>
    <w:rsid w:val="000C1EB1"/>
    <w:rsid w:val="000C29A8"/>
    <w:rsid w:val="000C401C"/>
    <w:rsid w:val="000C4E56"/>
    <w:rsid w:val="000D58CE"/>
    <w:rsid w:val="000E4C1E"/>
    <w:rsid w:val="000E4F95"/>
    <w:rsid w:val="000E68BE"/>
    <w:rsid w:val="000F23F5"/>
    <w:rsid w:val="000F28B7"/>
    <w:rsid w:val="000F30C0"/>
    <w:rsid w:val="000F4E6F"/>
    <w:rsid w:val="00122A3C"/>
    <w:rsid w:val="001274C7"/>
    <w:rsid w:val="00130B24"/>
    <w:rsid w:val="00134C4F"/>
    <w:rsid w:val="001357B3"/>
    <w:rsid w:val="001377C8"/>
    <w:rsid w:val="00173556"/>
    <w:rsid w:val="001970AE"/>
    <w:rsid w:val="001A22CB"/>
    <w:rsid w:val="001B0ADA"/>
    <w:rsid w:val="001B0BE0"/>
    <w:rsid w:val="001B2433"/>
    <w:rsid w:val="001F255C"/>
    <w:rsid w:val="001F30E8"/>
    <w:rsid w:val="00207853"/>
    <w:rsid w:val="00221174"/>
    <w:rsid w:val="00222728"/>
    <w:rsid w:val="002246FF"/>
    <w:rsid w:val="00230352"/>
    <w:rsid w:val="0023159E"/>
    <w:rsid w:val="002315ED"/>
    <w:rsid w:val="00232855"/>
    <w:rsid w:val="002344D5"/>
    <w:rsid w:val="002405FC"/>
    <w:rsid w:val="00252817"/>
    <w:rsid w:val="00254018"/>
    <w:rsid w:val="00255392"/>
    <w:rsid w:val="00271166"/>
    <w:rsid w:val="00273B2B"/>
    <w:rsid w:val="00283D2A"/>
    <w:rsid w:val="0028635E"/>
    <w:rsid w:val="00291563"/>
    <w:rsid w:val="002941E1"/>
    <w:rsid w:val="00295721"/>
    <w:rsid w:val="002B0EEE"/>
    <w:rsid w:val="002B6EE3"/>
    <w:rsid w:val="002C3ACD"/>
    <w:rsid w:val="002C62EA"/>
    <w:rsid w:val="002D0196"/>
    <w:rsid w:val="002D0C85"/>
    <w:rsid w:val="002D79C8"/>
    <w:rsid w:val="002F2BCF"/>
    <w:rsid w:val="00300352"/>
    <w:rsid w:val="00300CCD"/>
    <w:rsid w:val="00306ECC"/>
    <w:rsid w:val="003135C8"/>
    <w:rsid w:val="00320B88"/>
    <w:rsid w:val="003221FD"/>
    <w:rsid w:val="00325290"/>
    <w:rsid w:val="00340699"/>
    <w:rsid w:val="00341891"/>
    <w:rsid w:val="00342C87"/>
    <w:rsid w:val="003539EB"/>
    <w:rsid w:val="00362358"/>
    <w:rsid w:val="00367FF0"/>
    <w:rsid w:val="003700FF"/>
    <w:rsid w:val="00375621"/>
    <w:rsid w:val="0037720E"/>
    <w:rsid w:val="0038040A"/>
    <w:rsid w:val="003804B7"/>
    <w:rsid w:val="00381E18"/>
    <w:rsid w:val="00383159"/>
    <w:rsid w:val="003A01D4"/>
    <w:rsid w:val="003A07AF"/>
    <w:rsid w:val="003A2FD7"/>
    <w:rsid w:val="003C286D"/>
    <w:rsid w:val="003C3BFA"/>
    <w:rsid w:val="003C48B4"/>
    <w:rsid w:val="003E6CC4"/>
    <w:rsid w:val="003F1290"/>
    <w:rsid w:val="00404170"/>
    <w:rsid w:val="004077DD"/>
    <w:rsid w:val="004142C6"/>
    <w:rsid w:val="004205B9"/>
    <w:rsid w:val="00427B34"/>
    <w:rsid w:val="00430A4F"/>
    <w:rsid w:val="004313D9"/>
    <w:rsid w:val="00440634"/>
    <w:rsid w:val="00440945"/>
    <w:rsid w:val="004445CD"/>
    <w:rsid w:val="00453215"/>
    <w:rsid w:val="00457528"/>
    <w:rsid w:val="00467377"/>
    <w:rsid w:val="00467420"/>
    <w:rsid w:val="00474BB2"/>
    <w:rsid w:val="0048021F"/>
    <w:rsid w:val="00480B68"/>
    <w:rsid w:val="004862F8"/>
    <w:rsid w:val="0049470A"/>
    <w:rsid w:val="004976C6"/>
    <w:rsid w:val="004B161E"/>
    <w:rsid w:val="004B1D49"/>
    <w:rsid w:val="004C37FE"/>
    <w:rsid w:val="004F1DBF"/>
    <w:rsid w:val="004F30AF"/>
    <w:rsid w:val="004F569C"/>
    <w:rsid w:val="00503E4B"/>
    <w:rsid w:val="00522F8C"/>
    <w:rsid w:val="00531D3C"/>
    <w:rsid w:val="005340BF"/>
    <w:rsid w:val="00534F41"/>
    <w:rsid w:val="00540D2D"/>
    <w:rsid w:val="00541A8F"/>
    <w:rsid w:val="00555B45"/>
    <w:rsid w:val="005562E9"/>
    <w:rsid w:val="0055798D"/>
    <w:rsid w:val="005639F3"/>
    <w:rsid w:val="00574981"/>
    <w:rsid w:val="0057519C"/>
    <w:rsid w:val="00575305"/>
    <w:rsid w:val="0057649D"/>
    <w:rsid w:val="005802B1"/>
    <w:rsid w:val="00582614"/>
    <w:rsid w:val="00586C2D"/>
    <w:rsid w:val="005B6179"/>
    <w:rsid w:val="005C0D55"/>
    <w:rsid w:val="005C1718"/>
    <w:rsid w:val="005C3A78"/>
    <w:rsid w:val="005C5ECB"/>
    <w:rsid w:val="005D2FAF"/>
    <w:rsid w:val="005D5318"/>
    <w:rsid w:val="005D5F5E"/>
    <w:rsid w:val="005E232B"/>
    <w:rsid w:val="005E34CA"/>
    <w:rsid w:val="005E6743"/>
    <w:rsid w:val="005F36B3"/>
    <w:rsid w:val="005F3950"/>
    <w:rsid w:val="005F4168"/>
    <w:rsid w:val="00604E51"/>
    <w:rsid w:val="0060750E"/>
    <w:rsid w:val="00613175"/>
    <w:rsid w:val="006256F1"/>
    <w:rsid w:val="006259EA"/>
    <w:rsid w:val="0063786B"/>
    <w:rsid w:val="00646318"/>
    <w:rsid w:val="00651911"/>
    <w:rsid w:val="00660C61"/>
    <w:rsid w:val="0066711C"/>
    <w:rsid w:val="00667B6B"/>
    <w:rsid w:val="006733F3"/>
    <w:rsid w:val="006744A2"/>
    <w:rsid w:val="00674EC0"/>
    <w:rsid w:val="00675646"/>
    <w:rsid w:val="00680869"/>
    <w:rsid w:val="00681167"/>
    <w:rsid w:val="00696584"/>
    <w:rsid w:val="006A07E9"/>
    <w:rsid w:val="006A27E6"/>
    <w:rsid w:val="006A5742"/>
    <w:rsid w:val="006B300D"/>
    <w:rsid w:val="006B4E9C"/>
    <w:rsid w:val="006C4594"/>
    <w:rsid w:val="006C7E1E"/>
    <w:rsid w:val="006E0F23"/>
    <w:rsid w:val="006E1482"/>
    <w:rsid w:val="006E31F8"/>
    <w:rsid w:val="006F21BA"/>
    <w:rsid w:val="006F4EBD"/>
    <w:rsid w:val="006F6FCA"/>
    <w:rsid w:val="007011CE"/>
    <w:rsid w:val="00702E04"/>
    <w:rsid w:val="0071380D"/>
    <w:rsid w:val="00713B81"/>
    <w:rsid w:val="00715A5E"/>
    <w:rsid w:val="00721483"/>
    <w:rsid w:val="0072327F"/>
    <w:rsid w:val="00724D1F"/>
    <w:rsid w:val="007370A3"/>
    <w:rsid w:val="00737FCE"/>
    <w:rsid w:val="00742C67"/>
    <w:rsid w:val="00752ED7"/>
    <w:rsid w:val="007530B2"/>
    <w:rsid w:val="00757759"/>
    <w:rsid w:val="00761B2E"/>
    <w:rsid w:val="007630FF"/>
    <w:rsid w:val="0077311A"/>
    <w:rsid w:val="00780A09"/>
    <w:rsid w:val="00784E8F"/>
    <w:rsid w:val="0079180D"/>
    <w:rsid w:val="00795052"/>
    <w:rsid w:val="00797FFC"/>
    <w:rsid w:val="007A4FD9"/>
    <w:rsid w:val="007A7621"/>
    <w:rsid w:val="007B726E"/>
    <w:rsid w:val="007B74AB"/>
    <w:rsid w:val="007D2475"/>
    <w:rsid w:val="007D7990"/>
    <w:rsid w:val="007D7FE1"/>
    <w:rsid w:val="007E032A"/>
    <w:rsid w:val="007E3C57"/>
    <w:rsid w:val="007E4786"/>
    <w:rsid w:val="007E6C4E"/>
    <w:rsid w:val="007E7747"/>
    <w:rsid w:val="00802915"/>
    <w:rsid w:val="00804BAE"/>
    <w:rsid w:val="008137C5"/>
    <w:rsid w:val="00822B61"/>
    <w:rsid w:val="00825A4B"/>
    <w:rsid w:val="00833326"/>
    <w:rsid w:val="00836DE1"/>
    <w:rsid w:val="008563EA"/>
    <w:rsid w:val="00876053"/>
    <w:rsid w:val="00887B8A"/>
    <w:rsid w:val="008907F7"/>
    <w:rsid w:val="00896C8A"/>
    <w:rsid w:val="008A07B0"/>
    <w:rsid w:val="008A1B6B"/>
    <w:rsid w:val="008D2A58"/>
    <w:rsid w:val="008D5D9D"/>
    <w:rsid w:val="008D6F5A"/>
    <w:rsid w:val="008E153A"/>
    <w:rsid w:val="008E2651"/>
    <w:rsid w:val="008E2777"/>
    <w:rsid w:val="008F3C15"/>
    <w:rsid w:val="00900BCE"/>
    <w:rsid w:val="009018B7"/>
    <w:rsid w:val="00911063"/>
    <w:rsid w:val="00913F85"/>
    <w:rsid w:val="00922F71"/>
    <w:rsid w:val="00950596"/>
    <w:rsid w:val="00953EB2"/>
    <w:rsid w:val="009550CF"/>
    <w:rsid w:val="00964313"/>
    <w:rsid w:val="00971807"/>
    <w:rsid w:val="00973524"/>
    <w:rsid w:val="00974F6C"/>
    <w:rsid w:val="00975A90"/>
    <w:rsid w:val="0097622E"/>
    <w:rsid w:val="00985758"/>
    <w:rsid w:val="009876D9"/>
    <w:rsid w:val="00994D17"/>
    <w:rsid w:val="00994F18"/>
    <w:rsid w:val="009958E4"/>
    <w:rsid w:val="0099593A"/>
    <w:rsid w:val="0099687B"/>
    <w:rsid w:val="009B7B6C"/>
    <w:rsid w:val="009C796F"/>
    <w:rsid w:val="009C7E83"/>
    <w:rsid w:val="009D537B"/>
    <w:rsid w:val="009E1786"/>
    <w:rsid w:val="009E4E07"/>
    <w:rsid w:val="009F111C"/>
    <w:rsid w:val="009F229E"/>
    <w:rsid w:val="009F367E"/>
    <w:rsid w:val="009F6349"/>
    <w:rsid w:val="00A00C3F"/>
    <w:rsid w:val="00A036A1"/>
    <w:rsid w:val="00A23994"/>
    <w:rsid w:val="00A2745A"/>
    <w:rsid w:val="00A362DB"/>
    <w:rsid w:val="00A3644A"/>
    <w:rsid w:val="00A435C1"/>
    <w:rsid w:val="00A45302"/>
    <w:rsid w:val="00A50701"/>
    <w:rsid w:val="00A52212"/>
    <w:rsid w:val="00A5328C"/>
    <w:rsid w:val="00A5474D"/>
    <w:rsid w:val="00A5517D"/>
    <w:rsid w:val="00A5581F"/>
    <w:rsid w:val="00A56DF9"/>
    <w:rsid w:val="00A70766"/>
    <w:rsid w:val="00A757CA"/>
    <w:rsid w:val="00A76AEE"/>
    <w:rsid w:val="00A76F5A"/>
    <w:rsid w:val="00A92692"/>
    <w:rsid w:val="00AA082A"/>
    <w:rsid w:val="00AA78E0"/>
    <w:rsid w:val="00AB0E4E"/>
    <w:rsid w:val="00AB19A6"/>
    <w:rsid w:val="00AB6C9A"/>
    <w:rsid w:val="00AC33AA"/>
    <w:rsid w:val="00AC68F7"/>
    <w:rsid w:val="00AC7AE3"/>
    <w:rsid w:val="00AD75D8"/>
    <w:rsid w:val="00AF2E9A"/>
    <w:rsid w:val="00AF68E2"/>
    <w:rsid w:val="00AF7BAC"/>
    <w:rsid w:val="00B11F77"/>
    <w:rsid w:val="00B120ED"/>
    <w:rsid w:val="00B12767"/>
    <w:rsid w:val="00B12D95"/>
    <w:rsid w:val="00B17589"/>
    <w:rsid w:val="00B24EEB"/>
    <w:rsid w:val="00B465E7"/>
    <w:rsid w:val="00B46D89"/>
    <w:rsid w:val="00B478FD"/>
    <w:rsid w:val="00B60A02"/>
    <w:rsid w:val="00B65F85"/>
    <w:rsid w:val="00B72A91"/>
    <w:rsid w:val="00B74014"/>
    <w:rsid w:val="00B83B7C"/>
    <w:rsid w:val="00B83D0F"/>
    <w:rsid w:val="00B847A0"/>
    <w:rsid w:val="00B93BA9"/>
    <w:rsid w:val="00B97D4C"/>
    <w:rsid w:val="00BA2DB6"/>
    <w:rsid w:val="00BA31FC"/>
    <w:rsid w:val="00BA7916"/>
    <w:rsid w:val="00BB3DC4"/>
    <w:rsid w:val="00BC3540"/>
    <w:rsid w:val="00BC555D"/>
    <w:rsid w:val="00BD2D35"/>
    <w:rsid w:val="00BD4BF3"/>
    <w:rsid w:val="00BE2BE3"/>
    <w:rsid w:val="00BE55CC"/>
    <w:rsid w:val="00BE75C1"/>
    <w:rsid w:val="00BF6E5D"/>
    <w:rsid w:val="00C002D3"/>
    <w:rsid w:val="00C101D1"/>
    <w:rsid w:val="00C22C2E"/>
    <w:rsid w:val="00C24D7B"/>
    <w:rsid w:val="00C3246C"/>
    <w:rsid w:val="00C32AF7"/>
    <w:rsid w:val="00C35B5B"/>
    <w:rsid w:val="00C3701C"/>
    <w:rsid w:val="00C500AE"/>
    <w:rsid w:val="00C6282D"/>
    <w:rsid w:val="00C64C68"/>
    <w:rsid w:val="00C67ABA"/>
    <w:rsid w:val="00C70327"/>
    <w:rsid w:val="00C712D8"/>
    <w:rsid w:val="00C742DE"/>
    <w:rsid w:val="00C80C65"/>
    <w:rsid w:val="00C83124"/>
    <w:rsid w:val="00C87909"/>
    <w:rsid w:val="00C92BA4"/>
    <w:rsid w:val="00C934EF"/>
    <w:rsid w:val="00CA59A0"/>
    <w:rsid w:val="00CB0C4B"/>
    <w:rsid w:val="00CB444A"/>
    <w:rsid w:val="00CB6154"/>
    <w:rsid w:val="00CB6474"/>
    <w:rsid w:val="00CC03F1"/>
    <w:rsid w:val="00CC18D7"/>
    <w:rsid w:val="00CD0AB1"/>
    <w:rsid w:val="00D01678"/>
    <w:rsid w:val="00D1409F"/>
    <w:rsid w:val="00D20BB7"/>
    <w:rsid w:val="00D20D00"/>
    <w:rsid w:val="00D2214A"/>
    <w:rsid w:val="00D229F2"/>
    <w:rsid w:val="00D25111"/>
    <w:rsid w:val="00D5239F"/>
    <w:rsid w:val="00D575AD"/>
    <w:rsid w:val="00D72E36"/>
    <w:rsid w:val="00D733EF"/>
    <w:rsid w:val="00D81F32"/>
    <w:rsid w:val="00D9638A"/>
    <w:rsid w:val="00D97AAF"/>
    <w:rsid w:val="00DB453C"/>
    <w:rsid w:val="00DC37CD"/>
    <w:rsid w:val="00DC77CF"/>
    <w:rsid w:val="00DD77C7"/>
    <w:rsid w:val="00DE7D86"/>
    <w:rsid w:val="00DF012C"/>
    <w:rsid w:val="00DF0323"/>
    <w:rsid w:val="00DF3CE0"/>
    <w:rsid w:val="00DF60A1"/>
    <w:rsid w:val="00DF6390"/>
    <w:rsid w:val="00DF68C2"/>
    <w:rsid w:val="00DF7043"/>
    <w:rsid w:val="00E05573"/>
    <w:rsid w:val="00E10478"/>
    <w:rsid w:val="00E12E31"/>
    <w:rsid w:val="00E30A78"/>
    <w:rsid w:val="00E31C26"/>
    <w:rsid w:val="00E339F3"/>
    <w:rsid w:val="00E347C7"/>
    <w:rsid w:val="00E34911"/>
    <w:rsid w:val="00E37544"/>
    <w:rsid w:val="00E37F84"/>
    <w:rsid w:val="00E425E6"/>
    <w:rsid w:val="00E42645"/>
    <w:rsid w:val="00E430D1"/>
    <w:rsid w:val="00E43BFA"/>
    <w:rsid w:val="00E44EE1"/>
    <w:rsid w:val="00E50AA8"/>
    <w:rsid w:val="00E52D5C"/>
    <w:rsid w:val="00E56BDB"/>
    <w:rsid w:val="00E70909"/>
    <w:rsid w:val="00E737ED"/>
    <w:rsid w:val="00E73DCB"/>
    <w:rsid w:val="00E81A76"/>
    <w:rsid w:val="00E81FCF"/>
    <w:rsid w:val="00E833E7"/>
    <w:rsid w:val="00E95E81"/>
    <w:rsid w:val="00EA1686"/>
    <w:rsid w:val="00EA7A54"/>
    <w:rsid w:val="00EB5309"/>
    <w:rsid w:val="00EB5AAF"/>
    <w:rsid w:val="00EC0EE3"/>
    <w:rsid w:val="00ED09B7"/>
    <w:rsid w:val="00ED23E4"/>
    <w:rsid w:val="00ED7413"/>
    <w:rsid w:val="00EE4C75"/>
    <w:rsid w:val="00EF3F81"/>
    <w:rsid w:val="00EF7C7C"/>
    <w:rsid w:val="00F024B5"/>
    <w:rsid w:val="00F21B5B"/>
    <w:rsid w:val="00F32290"/>
    <w:rsid w:val="00F403A6"/>
    <w:rsid w:val="00F40FA1"/>
    <w:rsid w:val="00F42BF1"/>
    <w:rsid w:val="00F45F27"/>
    <w:rsid w:val="00F53DDD"/>
    <w:rsid w:val="00F657A4"/>
    <w:rsid w:val="00F745DC"/>
    <w:rsid w:val="00F75668"/>
    <w:rsid w:val="00F81080"/>
    <w:rsid w:val="00F87F56"/>
    <w:rsid w:val="00F91616"/>
    <w:rsid w:val="00F9213C"/>
    <w:rsid w:val="00F9281F"/>
    <w:rsid w:val="00FA02CD"/>
    <w:rsid w:val="00FA1451"/>
    <w:rsid w:val="00FA62C9"/>
    <w:rsid w:val="00FA748A"/>
    <w:rsid w:val="00FB4FE2"/>
    <w:rsid w:val="00FC133C"/>
    <w:rsid w:val="00FC3B7F"/>
    <w:rsid w:val="00FD1F42"/>
    <w:rsid w:val="00FD2B96"/>
    <w:rsid w:val="00FE145F"/>
    <w:rsid w:val="00FE39FB"/>
    <w:rsid w:val="00FE512E"/>
    <w:rsid w:val="00FE68DD"/>
    <w:rsid w:val="00FE765A"/>
    <w:rsid w:val="00FF3BF4"/>
    <w:rsid w:val="00FF6DA9"/>
    <w:rsid w:val="1B333905"/>
    <w:rsid w:val="255F44D7"/>
    <w:rsid w:val="421B5801"/>
    <w:rsid w:val="48B0711C"/>
    <w:rsid w:val="57DE14E8"/>
    <w:rsid w:val="5DB140FD"/>
    <w:rsid w:val="62362301"/>
    <w:rsid w:val="783E1E00"/>
    <w:rsid w:val="79542D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before="100" w:beforeAutospacing="1" w:afterLines="25" w:line="300" w:lineRule="auto"/>
      <w:ind w:firstLine="420" w:firstLineChars="200"/>
    </w:pPr>
    <w:rPr>
      <w:rFonts w:ascii="Arial" w:hAnsi="Arial" w:cs="Times New Roman"/>
      <w:sz w:val="21"/>
      <w:szCs w:val="21"/>
    </w:rPr>
  </w:style>
  <w:style w:type="paragraph" w:styleId="4">
    <w:name w:val="Body Text"/>
    <w:basedOn w:val="1"/>
    <w:semiHidden/>
    <w:unhideWhenUsed/>
    <w:uiPriority w:val="99"/>
    <w:pPr>
      <w:spacing w:line="600" w:lineRule="exact"/>
      <w:jc w:val="center"/>
    </w:pPr>
    <w:rPr>
      <w:sz w:val="36"/>
    </w:rPr>
  </w:style>
  <w:style w:type="paragraph" w:styleId="5">
    <w:name w:val="Body Text Indent"/>
    <w:basedOn w:val="1"/>
    <w:semiHidden/>
    <w:unhideWhenUsed/>
    <w:uiPriority w:val="99"/>
    <w:pPr>
      <w:ind w:firstLine="630"/>
    </w:pPr>
    <w:rPr>
      <w:rFonts w:ascii="仿宋_GB2312" w:eastAsia="仿宋_GB2312"/>
    </w:rPr>
  </w:style>
  <w:style w:type="paragraph" w:styleId="6">
    <w:name w:val="Date"/>
    <w:basedOn w:val="1"/>
    <w:next w:val="1"/>
    <w:semiHidden/>
    <w:unhideWhenUsed/>
    <w:uiPriority w:val="99"/>
    <w:rPr>
      <w:rFonts w:ascii="仿宋_GB2312" w:eastAsia="仿宋_GB2312"/>
    </w:rPr>
  </w:style>
  <w:style w:type="paragraph" w:styleId="7">
    <w:name w:val="Body Text Indent 2"/>
    <w:basedOn w:val="1"/>
    <w:semiHidden/>
    <w:unhideWhenUsed/>
    <w:uiPriority w:val="99"/>
    <w:pPr>
      <w:spacing w:after="120" w:line="480" w:lineRule="auto"/>
      <w:ind w:left="420" w:leftChars="200"/>
    </w:pPr>
  </w:style>
  <w:style w:type="paragraph" w:styleId="8">
    <w:name w:val="Balloon Text"/>
    <w:basedOn w:val="1"/>
    <w:semiHidden/>
    <w:unhideWhenUsed/>
    <w:qFormat/>
    <w:uiPriority w:val="99"/>
    <w:rPr>
      <w:sz w:val="18"/>
      <w:szCs w:val="18"/>
    </w:r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nhideWhenUsed/>
    <w:uiPriority w:val="99"/>
    <w:pPr>
      <w:spacing w:after="120"/>
      <w:ind w:left="420" w:leftChars="200"/>
    </w:pPr>
    <w:rPr>
      <w:sz w:val="16"/>
      <w:szCs w:val="16"/>
    </w:rPr>
  </w:style>
  <w:style w:type="paragraph" w:styleId="12">
    <w:name w:val="Normal (Web)"/>
    <w:basedOn w:val="1"/>
    <w:semiHidden/>
    <w:unhideWhenUsed/>
    <w:uiPriority w:val="99"/>
    <w:pPr>
      <w:widowControl/>
      <w:spacing w:before="100" w:beforeAutospacing="1" w:after="100" w:afterAutospacing="1"/>
      <w:jc w:val="left"/>
    </w:pPr>
    <w:rPr>
      <w:rFonts w:ascii="_x000B__x000C_" w:hAnsi="_x000B__x000C_"/>
      <w:kern w:val="0"/>
      <w:sz w:val="18"/>
      <w:szCs w:val="18"/>
    </w:rPr>
  </w:style>
  <w:style w:type="table" w:styleId="14">
    <w:name w:val="Table Grid"/>
    <w:basedOn w:val="1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semiHidden/>
    <w:unhideWhenUsed/>
    <w:uiPriority w:val="99"/>
  </w:style>
  <w:style w:type="paragraph" w:customStyle="1" w:styleId="17">
    <w:name w:val="_Style 15"/>
    <w:hidden/>
    <w:unhideWhenUsed/>
    <w:qFormat/>
    <w:uiPriority w:val="99"/>
    <w:rPr>
      <w:rFonts w:ascii="Times New Roman" w:hAnsi="Times New Roman" w:eastAsia="宋体" w:cs="Times New Roman"/>
      <w:kern w:val="2"/>
      <w:sz w:val="32"/>
      <w:szCs w:val="24"/>
      <w:lang w:val="en-US" w:eastAsia="zh-CN" w:bidi="ar-SA"/>
    </w:rPr>
  </w:style>
  <w:style w:type="paragraph" w:customStyle="1" w:styleId="18">
    <w:name w:val="List Paragraph"/>
    <w:basedOn w:val="1"/>
    <w:qFormat/>
    <w:uiPriority w:val="0"/>
    <w:pPr>
      <w:ind w:firstLine="420" w:firstLineChars="200"/>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Hisense</Company>
  <Pages>7</Pages>
  <Words>350</Words>
  <Characters>1996</Characters>
  <Lines>16</Lines>
  <Paragraphs>4</Paragraphs>
  <TotalTime>7</TotalTime>
  <ScaleCrop>false</ScaleCrop>
  <LinksUpToDate>false</LinksUpToDate>
  <CharactersWithSpaces>2342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2024-04-04T19:09:00Z</dcterms:created>
  <dc:creator>李守岭</dc:creator>
  <cp:lastModifiedBy>Administrator</cp:lastModifiedBy>
  <cp:lastPrinted>2010-06-04T09:44:00Z</cp:lastPrinted>
  <dcterms:modified xsi:type="dcterms:W3CDTF">2024-04-25T03:14:52Z</dcterms:modified>
  <dc:title>陕西省运销集团公司关于落实党风廉政建设责任制的措施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3CC2DDDDB76A44C78EE4866011705DEB</vt:lpwstr>
  </property>
</Properties>
</file>