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 w:val="left" w:pos="9198"/>
        </w:tabs>
        <w:autoSpaceDE w:val="0"/>
        <w:autoSpaceDN w:val="0"/>
        <w:spacing w:line="276" w:lineRule="auto"/>
        <w:ind w:right="-16"/>
        <w:jc w:val="center"/>
        <w:rPr>
          <w:rFonts w:ascii="宋体" w:hAnsi="宋体" w:eastAsia="宋体" w:cs="宋体"/>
          <w:b/>
          <w:spacing w:val="-3"/>
          <w:position w:val="-1"/>
          <w:sz w:val="28"/>
          <w:szCs w:val="28"/>
          <w:lang w:eastAsia="zh-CN"/>
        </w:rPr>
      </w:pPr>
      <w:r>
        <w:rPr>
          <w:rFonts w:hint="eastAsia" w:ascii="宋体" w:hAnsi="宋体" w:eastAsia="宋体" w:cs="宋体"/>
          <w:b/>
          <w:spacing w:val="-3"/>
          <w:position w:val="-1"/>
          <w:sz w:val="28"/>
          <w:szCs w:val="28"/>
          <w:lang w:eastAsia="zh-CN"/>
        </w:rPr>
        <w:t>陕西省眉县至太白公路PPP项目房建、机电工程施工监理</w:t>
      </w:r>
    </w:p>
    <w:p>
      <w:pPr>
        <w:tabs>
          <w:tab w:val="left" w:pos="0"/>
          <w:tab w:val="left" w:pos="9198"/>
        </w:tabs>
        <w:autoSpaceDE w:val="0"/>
        <w:autoSpaceDN w:val="0"/>
        <w:spacing w:line="276" w:lineRule="auto"/>
        <w:ind w:right="-16"/>
        <w:jc w:val="center"/>
        <w:rPr>
          <w:rFonts w:ascii="宋体" w:hAnsi="宋体" w:eastAsia="宋体" w:cs="宋体"/>
          <w:b/>
          <w:spacing w:val="-3"/>
          <w:position w:val="-1"/>
          <w:sz w:val="28"/>
          <w:szCs w:val="28"/>
          <w:lang w:eastAsia="zh-CN"/>
        </w:rPr>
      </w:pPr>
      <w:r>
        <w:rPr>
          <w:rFonts w:hint="eastAsia" w:ascii="宋体" w:hAnsi="宋体" w:eastAsia="宋体" w:cs="宋体"/>
          <w:b/>
          <w:spacing w:val="-3"/>
          <w:position w:val="-1"/>
          <w:sz w:val="28"/>
          <w:szCs w:val="28"/>
          <w:lang w:eastAsia="zh-CN"/>
        </w:rPr>
        <w:t>招标公告</w:t>
      </w:r>
    </w:p>
    <w:p>
      <w:pPr>
        <w:spacing w:line="360" w:lineRule="auto"/>
        <w:ind w:right="-29" w:rightChars="-13"/>
        <w:rPr>
          <w:rFonts w:ascii="宋体" w:hAnsi="宋体" w:eastAsia="宋体" w:cs="宋体"/>
          <w:b/>
          <w:sz w:val="24"/>
          <w:szCs w:val="24"/>
          <w:lang w:eastAsia="zh-CN"/>
        </w:rPr>
      </w:pPr>
      <w:r>
        <w:rPr>
          <w:rFonts w:hint="eastAsia" w:ascii="宋体" w:hAnsi="宋体" w:eastAsia="宋体" w:cs="宋体"/>
          <w:b/>
          <w:sz w:val="24"/>
          <w:szCs w:val="24"/>
          <w:lang w:eastAsia="zh-CN"/>
        </w:rPr>
        <w:t>1.招标条件</w:t>
      </w:r>
    </w:p>
    <w:p>
      <w:pPr>
        <w:pStyle w:val="12"/>
        <w:tabs>
          <w:tab w:val="left" w:pos="1852"/>
          <w:tab w:val="left" w:pos="2155"/>
          <w:tab w:val="left" w:pos="2702"/>
          <w:tab w:val="left" w:pos="3770"/>
          <w:tab w:val="left" w:pos="4612"/>
          <w:tab w:val="left" w:pos="4823"/>
          <w:tab w:val="left" w:pos="5830"/>
          <w:tab w:val="left" w:pos="6440"/>
          <w:tab w:val="left" w:pos="7710"/>
          <w:tab w:val="left" w:pos="9680"/>
        </w:tabs>
        <w:spacing w:line="360" w:lineRule="auto"/>
        <w:ind w:right="-29" w:rightChars="-13" w:firstLine="439" w:firstLineChars="183"/>
        <w:jc w:val="both"/>
        <w:rPr>
          <w:rFonts w:ascii="宋体" w:hAnsi="宋体" w:eastAsia="宋体" w:cs="宋体"/>
          <w:szCs w:val="24"/>
          <w:lang w:eastAsia="zh-CN"/>
        </w:rPr>
      </w:pPr>
      <w:r>
        <w:rPr>
          <w:rFonts w:hint="eastAsia" w:ascii="宋体" w:hAnsi="宋体" w:eastAsia="宋体" w:cs="宋体"/>
          <w:szCs w:val="24"/>
          <w:lang w:eastAsia="zh-CN"/>
        </w:rPr>
        <w:t>本招标项目陕西省眉县至太白公路PPP项目已</w:t>
      </w:r>
      <w:r>
        <w:rPr>
          <w:rFonts w:hint="eastAsia" w:ascii="宋体" w:hAnsi="宋体" w:eastAsia="宋体" w:cs="宋体"/>
          <w:spacing w:val="-17"/>
          <w:szCs w:val="24"/>
          <w:lang w:eastAsia="zh-CN"/>
        </w:rPr>
        <w:t>由</w:t>
      </w:r>
      <w:r>
        <w:rPr>
          <w:rFonts w:hint="eastAsia" w:ascii="宋体" w:hAnsi="宋体" w:eastAsia="宋体" w:cs="宋体"/>
          <w:szCs w:val="24"/>
          <w:u w:val="single"/>
          <w:lang w:eastAsia="zh-CN"/>
        </w:rPr>
        <w:t>陕西省发展和改革委员会</w:t>
      </w:r>
      <w:r>
        <w:rPr>
          <w:rFonts w:hint="eastAsia" w:ascii="宋体" w:hAnsi="宋体" w:eastAsia="宋体" w:cs="宋体"/>
          <w:szCs w:val="24"/>
          <w:lang w:eastAsia="zh-CN"/>
        </w:rPr>
        <w:t>以</w:t>
      </w:r>
      <w:r>
        <w:rPr>
          <w:rFonts w:hint="eastAsia" w:ascii="宋体" w:hAnsi="宋体" w:eastAsia="宋体" w:cs="宋体"/>
          <w:szCs w:val="24"/>
          <w:u w:val="single"/>
          <w:lang w:eastAsia="zh-CN"/>
        </w:rPr>
        <w:t>《关于眉县至太白高速公路项目核准的批复》（陕发改基础〔2018〕1231号）</w:t>
      </w:r>
      <w:r>
        <w:rPr>
          <w:rFonts w:hint="eastAsia" w:ascii="宋体" w:hAnsi="宋体" w:eastAsia="宋体" w:cs="宋体"/>
          <w:spacing w:val="-6"/>
          <w:szCs w:val="24"/>
          <w:lang w:eastAsia="zh-CN"/>
        </w:rPr>
        <w:t>批准建设，初步设计</w:t>
      </w:r>
      <w:r>
        <w:rPr>
          <w:rFonts w:hint="eastAsia" w:ascii="宋体" w:hAnsi="宋体" w:eastAsia="宋体" w:cs="宋体"/>
          <w:szCs w:val="24"/>
          <w:lang w:eastAsia="zh-CN"/>
        </w:rPr>
        <w:t>已由</w:t>
      </w:r>
      <w:r>
        <w:rPr>
          <w:rFonts w:hint="eastAsia" w:ascii="宋体" w:hAnsi="宋体" w:eastAsia="宋体" w:cs="宋体"/>
          <w:szCs w:val="24"/>
          <w:u w:val="single"/>
          <w:lang w:eastAsia="zh-CN"/>
        </w:rPr>
        <w:t>陕西省发展和改革委员会</w:t>
      </w:r>
      <w:r>
        <w:rPr>
          <w:rFonts w:hint="eastAsia" w:ascii="宋体" w:hAnsi="宋体" w:eastAsia="宋体" w:cs="宋体"/>
          <w:szCs w:val="24"/>
          <w:lang w:eastAsia="zh-CN"/>
        </w:rPr>
        <w:t>以</w:t>
      </w:r>
      <w:r>
        <w:rPr>
          <w:rFonts w:hint="eastAsia" w:ascii="宋体" w:hAnsi="宋体" w:eastAsia="宋体" w:cs="宋体"/>
          <w:szCs w:val="24"/>
          <w:u w:val="single"/>
          <w:lang w:eastAsia="zh-CN"/>
        </w:rPr>
        <w:t>（陕发改基础〔2021〕193号）批准</w:t>
      </w:r>
      <w:r>
        <w:rPr>
          <w:rFonts w:hint="eastAsia" w:ascii="宋体" w:hAnsi="宋体" w:eastAsia="宋体" w:cs="宋体"/>
          <w:szCs w:val="24"/>
          <w:lang w:eastAsia="zh-CN"/>
        </w:rPr>
        <w:t>，施工图设计已由</w:t>
      </w:r>
      <w:r>
        <w:rPr>
          <w:rFonts w:hint="eastAsia" w:ascii="宋体" w:hAnsi="宋体" w:eastAsia="宋体" w:cs="宋体"/>
          <w:szCs w:val="24"/>
          <w:u w:val="single"/>
          <w:lang w:eastAsia="zh-CN"/>
        </w:rPr>
        <w:t>陕西省交通运输厅</w:t>
      </w:r>
      <w:r>
        <w:rPr>
          <w:rFonts w:hint="eastAsia" w:ascii="宋体" w:hAnsi="宋体" w:eastAsia="宋体" w:cs="宋体"/>
          <w:szCs w:val="24"/>
          <w:lang w:eastAsia="zh-CN"/>
        </w:rPr>
        <w:t>以</w:t>
      </w:r>
      <w:r>
        <w:rPr>
          <w:rFonts w:hint="eastAsia" w:ascii="宋体" w:hAnsi="宋体" w:eastAsia="宋体" w:cs="宋体"/>
          <w:szCs w:val="24"/>
          <w:u w:val="single"/>
          <w:lang w:eastAsia="zh-CN"/>
        </w:rPr>
        <w:t>《关于眉县至太白高速公路施工图设计的批复》（陕交函〔2021〕1464号）批复</w:t>
      </w:r>
      <w:r>
        <w:rPr>
          <w:rFonts w:hint="eastAsia" w:ascii="宋体" w:hAnsi="宋体" w:eastAsia="宋体" w:cs="宋体"/>
          <w:szCs w:val="24"/>
          <w:lang w:eastAsia="zh-CN"/>
        </w:rPr>
        <w:t>。项目业主为</w:t>
      </w:r>
      <w:r>
        <w:rPr>
          <w:rFonts w:hint="eastAsia" w:ascii="宋体" w:hAnsi="宋体" w:eastAsia="宋体" w:cs="宋体"/>
          <w:szCs w:val="24"/>
          <w:u w:val="single"/>
          <w:lang w:eastAsia="zh-CN"/>
        </w:rPr>
        <w:t>中铁建陕西眉太高速公路有限公司</w:t>
      </w:r>
      <w:r>
        <w:rPr>
          <w:rFonts w:hint="eastAsia" w:ascii="宋体" w:hAnsi="宋体" w:eastAsia="宋体" w:cs="宋体"/>
          <w:szCs w:val="24"/>
          <w:lang w:eastAsia="zh-CN"/>
        </w:rPr>
        <w:t>，</w:t>
      </w:r>
      <w:r>
        <w:rPr>
          <w:rFonts w:hint="eastAsia" w:ascii="宋体" w:hAnsi="宋体" w:eastAsia="宋体" w:cs="宋体"/>
          <w:spacing w:val="-8"/>
          <w:szCs w:val="24"/>
          <w:lang w:eastAsia="zh-CN"/>
        </w:rPr>
        <w:t>建设资金来自</w:t>
      </w:r>
      <w:r>
        <w:rPr>
          <w:rFonts w:hint="eastAsia" w:ascii="宋体" w:hAnsi="宋体" w:eastAsia="宋体" w:cs="宋体"/>
          <w:szCs w:val="24"/>
          <w:u w:val="single"/>
          <w:lang w:eastAsia="zh-CN"/>
        </w:rPr>
        <w:t xml:space="preserve"> 企业自筹资金 </w:t>
      </w:r>
      <w:r>
        <w:rPr>
          <w:rFonts w:hint="eastAsia" w:ascii="宋体" w:hAnsi="宋体" w:eastAsia="宋体" w:cs="宋体"/>
          <w:spacing w:val="-7"/>
          <w:szCs w:val="24"/>
          <w:lang w:eastAsia="zh-CN"/>
        </w:rPr>
        <w:t>，</w:t>
      </w:r>
      <w:r>
        <w:rPr>
          <w:rFonts w:hint="eastAsia" w:ascii="宋体" w:hAnsi="宋体" w:eastAsia="宋体" w:cs="宋体"/>
          <w:szCs w:val="24"/>
          <w:lang w:eastAsia="zh-CN"/>
        </w:rPr>
        <w:t>招标人为</w:t>
      </w:r>
      <w:r>
        <w:rPr>
          <w:rFonts w:hint="eastAsia" w:ascii="宋体" w:hAnsi="宋体" w:eastAsia="宋体" w:cs="宋体"/>
          <w:szCs w:val="24"/>
          <w:u w:val="single"/>
          <w:lang w:eastAsia="zh-CN"/>
        </w:rPr>
        <w:t>中铁建陕西眉太高速公路有限公司</w:t>
      </w:r>
      <w:r>
        <w:rPr>
          <w:rFonts w:hint="eastAsia" w:ascii="宋体" w:hAnsi="宋体" w:eastAsia="宋体" w:cs="宋体"/>
          <w:szCs w:val="24"/>
          <w:lang w:eastAsia="zh-CN"/>
        </w:rPr>
        <w:t>，项目已具备招标条件,现对该项目的房建、机电工程施工监理进行公开招标。</w:t>
      </w:r>
    </w:p>
    <w:p>
      <w:pPr>
        <w:spacing w:line="360" w:lineRule="auto"/>
        <w:ind w:right="-29" w:rightChars="-13"/>
        <w:rPr>
          <w:rFonts w:ascii="宋体" w:hAnsi="宋体" w:eastAsia="宋体" w:cs="宋体"/>
          <w:b/>
          <w:sz w:val="24"/>
          <w:szCs w:val="24"/>
          <w:lang w:eastAsia="zh-CN"/>
        </w:rPr>
      </w:pPr>
      <w:r>
        <w:rPr>
          <w:rFonts w:hint="eastAsia" w:ascii="宋体" w:hAnsi="宋体" w:eastAsia="宋体" w:cs="宋体"/>
          <w:b/>
          <w:sz w:val="24"/>
          <w:szCs w:val="24"/>
          <w:lang w:eastAsia="zh-CN"/>
        </w:rPr>
        <w:t>2.项目概况与招标范围</w:t>
      </w:r>
    </w:p>
    <w:p>
      <w:pPr>
        <w:pStyle w:val="12"/>
        <w:tabs>
          <w:tab w:val="left" w:pos="1852"/>
          <w:tab w:val="left" w:pos="2155"/>
          <w:tab w:val="left" w:pos="2702"/>
          <w:tab w:val="left" w:pos="3770"/>
          <w:tab w:val="left" w:pos="4612"/>
          <w:tab w:val="left" w:pos="4823"/>
          <w:tab w:val="left" w:pos="5830"/>
          <w:tab w:val="left" w:pos="6440"/>
          <w:tab w:val="left" w:pos="7710"/>
        </w:tabs>
        <w:spacing w:line="360" w:lineRule="auto"/>
        <w:ind w:right="-29" w:rightChars="-13"/>
        <w:rPr>
          <w:rFonts w:ascii="宋体" w:hAnsi="宋体" w:eastAsia="宋体" w:cs="宋体"/>
          <w:b/>
          <w:szCs w:val="24"/>
          <w:lang w:eastAsia="zh-CN"/>
        </w:rPr>
      </w:pPr>
      <w:r>
        <w:rPr>
          <w:rFonts w:hint="eastAsia" w:ascii="宋体" w:hAnsi="宋体" w:eastAsia="宋体" w:cs="宋体"/>
          <w:b/>
          <w:szCs w:val="24"/>
          <w:lang w:eastAsia="zh-CN"/>
        </w:rPr>
        <w:t>2.1项目概况</w:t>
      </w:r>
    </w:p>
    <w:p>
      <w:pPr>
        <w:spacing w:line="360" w:lineRule="auto"/>
        <w:ind w:right="-29" w:rightChars="-13"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陕西省眉县至太白公路是陕西省重点高速公路，是连通连霍高速、十天高速和京昆高速公路的一条纵向线，项目全长75.435公里。起点位于扶风县上宋村与连霍高速相接，途经宝鸡市扶风县、眉县、太白县，终点位于太白县城南与在建的太凤高速公路相接，全线按双向四车道高速公路标准建设，其中起点至红河谷互通式立交段设计速度100公里/小时，路基宽度26米；红河谷互通式立交至终点段设计速度80公里/小时，路基宽度25.5米。桥涵设计汽车荷载等级采用公路-Ⅰ级，设计洪水频率为1/100（特大桥1/300）。</w:t>
      </w:r>
    </w:p>
    <w:p>
      <w:pPr>
        <w:pStyle w:val="12"/>
        <w:tabs>
          <w:tab w:val="left" w:pos="1852"/>
          <w:tab w:val="left" w:pos="2155"/>
          <w:tab w:val="left" w:pos="2702"/>
          <w:tab w:val="left" w:pos="3770"/>
          <w:tab w:val="left" w:pos="4612"/>
          <w:tab w:val="left" w:pos="4823"/>
          <w:tab w:val="left" w:pos="5830"/>
          <w:tab w:val="left" w:pos="6440"/>
          <w:tab w:val="left" w:pos="7710"/>
        </w:tabs>
        <w:spacing w:line="360" w:lineRule="auto"/>
        <w:ind w:right="-29" w:rightChars="-13"/>
        <w:rPr>
          <w:rFonts w:ascii="宋体" w:hAnsi="宋体" w:eastAsia="宋体" w:cs="宋体"/>
          <w:b/>
          <w:szCs w:val="24"/>
          <w:lang w:eastAsia="zh-CN"/>
        </w:rPr>
      </w:pPr>
      <w:r>
        <w:rPr>
          <w:rFonts w:hint="eastAsia" w:ascii="宋体" w:hAnsi="宋体" w:eastAsia="宋体" w:cs="宋体"/>
          <w:b/>
          <w:szCs w:val="24"/>
          <w:lang w:eastAsia="zh-CN"/>
        </w:rPr>
        <w:t>2.2招标范围</w:t>
      </w:r>
    </w:p>
    <w:p>
      <w:pPr>
        <w:spacing w:line="360" w:lineRule="auto"/>
        <w:ind w:right="-29" w:rightChars="-13"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本次招标为本项目全线房建（含加油加气站）、机电工程施工监理，负责本项目全线房建和机电工程施工期及缺陷责任期监理服务。</w:t>
      </w:r>
    </w:p>
    <w:p>
      <w:pPr>
        <w:spacing w:line="360" w:lineRule="auto"/>
        <w:ind w:right="-29" w:rightChars="-13"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陕西省眉县至太白公路PPP项目房建、机电工程施工阶段设置一级监理机构模式，具体标段划分和主要工作内容如下：</w:t>
      </w:r>
    </w:p>
    <w:p>
      <w:pPr>
        <w:rPr>
          <w:rFonts w:ascii="宋体" w:hAnsi="宋体" w:eastAsia="宋体" w:cs="宋体"/>
          <w:sz w:val="24"/>
          <w:szCs w:val="24"/>
          <w:lang w:eastAsia="zh-CN"/>
        </w:rPr>
      </w:pPr>
      <w:r>
        <w:rPr>
          <w:rFonts w:hint="eastAsia" w:ascii="宋体" w:hAnsi="宋体" w:eastAsia="宋体" w:cs="宋体"/>
          <w:sz w:val="24"/>
          <w:szCs w:val="24"/>
          <w:lang w:eastAsia="zh-CN"/>
        </w:rPr>
        <w:br w:type="page"/>
      </w:r>
    </w:p>
    <w:p>
      <w:pPr>
        <w:pStyle w:val="2"/>
        <w:rPr>
          <w:rFonts w:ascii="宋体" w:hAnsi="宋体" w:eastAsia="宋体" w:cs="宋体"/>
          <w:lang w:eastAsia="zh-CN"/>
        </w:rPr>
      </w:pPr>
    </w:p>
    <w:tbl>
      <w:tblPr>
        <w:tblStyle w:val="13"/>
        <w:tblW w:w="9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1407"/>
        <w:gridCol w:w="1276"/>
        <w:gridCol w:w="3961"/>
        <w:gridCol w:w="1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 w:hRule="atLeast"/>
          <w:tblHeader/>
          <w:jc w:val="center"/>
        </w:trPr>
        <w:tc>
          <w:tcPr>
            <w:tcW w:w="13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b/>
                <w:sz w:val="21"/>
                <w:szCs w:val="21"/>
              </w:rPr>
            </w:pPr>
            <w:r>
              <w:rPr>
                <w:rFonts w:hint="eastAsia" w:ascii="宋体" w:hAnsi="宋体" w:eastAsia="宋体" w:cs="宋体"/>
                <w:b/>
                <w:kern w:val="2"/>
                <w:sz w:val="21"/>
                <w:szCs w:val="21"/>
                <w:lang w:eastAsia="zh-CN"/>
              </w:rPr>
              <w:t>监理</w:t>
            </w:r>
          </w:p>
          <w:p>
            <w:pPr>
              <w:spacing w:line="320" w:lineRule="exact"/>
              <w:jc w:val="center"/>
              <w:rPr>
                <w:rFonts w:ascii="宋体" w:hAnsi="宋体" w:eastAsia="宋体" w:cs="宋体"/>
                <w:b/>
                <w:sz w:val="21"/>
                <w:szCs w:val="21"/>
              </w:rPr>
            </w:pPr>
            <w:r>
              <w:rPr>
                <w:rFonts w:hint="eastAsia" w:ascii="宋体" w:hAnsi="宋体" w:eastAsia="宋体" w:cs="宋体"/>
                <w:b/>
                <w:kern w:val="2"/>
                <w:sz w:val="21"/>
                <w:szCs w:val="21"/>
                <w:lang w:eastAsia="zh-CN"/>
              </w:rPr>
              <w:t>标段</w:t>
            </w:r>
          </w:p>
        </w:tc>
        <w:tc>
          <w:tcPr>
            <w:tcW w:w="1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b/>
                <w:sz w:val="21"/>
                <w:szCs w:val="21"/>
              </w:rPr>
            </w:pPr>
            <w:r>
              <w:rPr>
                <w:rFonts w:hint="eastAsia" w:ascii="宋体" w:hAnsi="宋体" w:eastAsia="宋体" w:cs="宋体"/>
                <w:b/>
                <w:kern w:val="2"/>
                <w:sz w:val="21"/>
                <w:szCs w:val="21"/>
                <w:lang w:eastAsia="zh-CN"/>
              </w:rPr>
              <w:t>招标范围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b/>
                <w:sz w:val="21"/>
                <w:szCs w:val="21"/>
              </w:rPr>
            </w:pPr>
            <w:r>
              <w:rPr>
                <w:rFonts w:hint="eastAsia" w:ascii="宋体" w:hAnsi="宋体" w:eastAsia="宋体" w:cs="宋体"/>
                <w:b/>
                <w:kern w:val="2"/>
                <w:sz w:val="21"/>
                <w:szCs w:val="21"/>
                <w:lang w:eastAsia="zh-CN"/>
              </w:rPr>
              <w:t>起讫</w:t>
            </w:r>
          </w:p>
          <w:p>
            <w:pPr>
              <w:spacing w:line="320" w:lineRule="exact"/>
              <w:jc w:val="center"/>
              <w:rPr>
                <w:rFonts w:ascii="宋体" w:hAnsi="宋体" w:eastAsia="宋体" w:cs="宋体"/>
                <w:b/>
                <w:sz w:val="21"/>
                <w:szCs w:val="21"/>
                <w:lang w:eastAsia="zh-CN"/>
              </w:rPr>
            </w:pPr>
            <w:r>
              <w:rPr>
                <w:rFonts w:hint="eastAsia" w:ascii="宋体" w:hAnsi="宋体" w:eastAsia="宋体" w:cs="宋体"/>
                <w:b/>
                <w:kern w:val="2"/>
                <w:sz w:val="21"/>
                <w:szCs w:val="21"/>
                <w:lang w:eastAsia="zh-CN"/>
              </w:rPr>
              <w:t>桩号及路线长度</w:t>
            </w:r>
          </w:p>
        </w:tc>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b/>
                <w:sz w:val="21"/>
                <w:szCs w:val="21"/>
              </w:rPr>
            </w:pPr>
            <w:r>
              <w:rPr>
                <w:rFonts w:hint="eastAsia" w:ascii="宋体" w:hAnsi="宋体" w:eastAsia="宋体" w:cs="宋体"/>
                <w:b/>
                <w:kern w:val="2"/>
                <w:sz w:val="21"/>
                <w:szCs w:val="21"/>
                <w:lang w:eastAsia="zh-CN"/>
              </w:rPr>
              <w:t>主要服务内容</w:t>
            </w:r>
          </w:p>
        </w:tc>
        <w:tc>
          <w:tcPr>
            <w:tcW w:w="18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b/>
                <w:sz w:val="21"/>
                <w:szCs w:val="21"/>
              </w:rPr>
            </w:pPr>
            <w:r>
              <w:rPr>
                <w:rFonts w:hint="eastAsia" w:ascii="宋体" w:hAnsi="宋体" w:eastAsia="宋体" w:cs="宋体"/>
                <w:b/>
                <w:kern w:val="2"/>
                <w:sz w:val="21"/>
                <w:szCs w:val="21"/>
                <w:lang w:eastAsia="zh-CN"/>
              </w:rPr>
              <w:t>计划监理</w:t>
            </w:r>
          </w:p>
          <w:p>
            <w:pPr>
              <w:jc w:val="center"/>
              <w:rPr>
                <w:rFonts w:ascii="宋体" w:hAnsi="宋体" w:eastAsia="宋体" w:cs="宋体"/>
                <w:b/>
                <w:sz w:val="21"/>
                <w:szCs w:val="21"/>
              </w:rPr>
            </w:pPr>
            <w:r>
              <w:rPr>
                <w:rFonts w:hint="eastAsia" w:ascii="宋体" w:hAnsi="宋体" w:eastAsia="宋体" w:cs="宋体"/>
                <w:b/>
                <w:kern w:val="2"/>
                <w:sz w:val="21"/>
                <w:szCs w:val="21"/>
                <w:lang w:eastAsia="zh-CN"/>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13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MTFJZJ标段</w:t>
            </w:r>
            <w:r>
              <w:rPr>
                <w:rFonts w:hint="eastAsia" w:ascii="宋体" w:hAnsi="宋体" w:eastAsia="宋体" w:cs="宋体"/>
                <w:kern w:val="2"/>
                <w:sz w:val="21"/>
                <w:szCs w:val="21"/>
                <w:lang w:eastAsia="zh-CN"/>
              </w:rPr>
              <w:t>（眉太房建总监办）</w:t>
            </w:r>
          </w:p>
        </w:tc>
        <w:tc>
          <w:tcPr>
            <w:tcW w:w="1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sz w:val="21"/>
                <w:szCs w:val="21"/>
                <w:lang w:eastAsia="zh-CN"/>
              </w:rPr>
            </w:pPr>
            <w:r>
              <w:rPr>
                <w:rFonts w:hint="eastAsia" w:ascii="宋体" w:hAnsi="宋体" w:eastAsia="宋体" w:cs="宋体"/>
                <w:color w:val="000000"/>
                <w:sz w:val="21"/>
                <w:szCs w:val="21"/>
                <w:lang w:eastAsia="zh-CN"/>
              </w:rPr>
              <w:t>负责全线房建工程监理服务（含加油加气站，不含旅游部分房建工程）</w:t>
            </w:r>
          </w:p>
        </w:tc>
        <w:tc>
          <w:tcPr>
            <w:tcW w:w="1276" w:type="dxa"/>
            <w:vMerge w:val="restart"/>
            <w:tcBorders>
              <w:top w:val="single" w:color="auto" w:sz="4" w:space="0"/>
              <w:left w:val="single" w:color="auto" w:sz="4" w:space="0"/>
              <w:right w:val="single" w:color="auto" w:sz="4" w:space="0"/>
            </w:tcBorders>
            <w:shd w:val="clear" w:color="auto" w:fill="auto"/>
            <w:vAlign w:val="center"/>
          </w:tcPr>
          <w:p>
            <w:pPr>
              <w:spacing w:line="320" w:lineRule="exact"/>
              <w:jc w:val="center"/>
              <w:rPr>
                <w:rFonts w:ascii="宋体" w:hAnsi="宋体" w:eastAsia="宋体" w:cs="宋体"/>
                <w:kern w:val="2"/>
                <w:sz w:val="21"/>
                <w:szCs w:val="21"/>
                <w:lang w:eastAsia="zh-CN"/>
              </w:rPr>
            </w:pPr>
            <w:r>
              <w:rPr>
                <w:rFonts w:hint="eastAsia" w:ascii="宋体" w:hAnsi="宋体" w:eastAsia="宋体" w:cs="宋体"/>
                <w:kern w:val="2"/>
                <w:sz w:val="21"/>
                <w:szCs w:val="21"/>
                <w:lang w:eastAsia="zh-CN"/>
              </w:rPr>
              <w:t xml:space="preserve">K0+000～K75+435 </w:t>
            </w:r>
          </w:p>
          <w:p>
            <w:pPr>
              <w:spacing w:line="320" w:lineRule="exact"/>
              <w:jc w:val="center"/>
              <w:rPr>
                <w:rFonts w:ascii="宋体" w:hAnsi="宋体" w:eastAsia="宋体" w:cs="宋体"/>
                <w:kern w:val="2"/>
                <w:sz w:val="21"/>
                <w:szCs w:val="21"/>
                <w:lang w:eastAsia="zh-CN"/>
              </w:rPr>
            </w:pPr>
          </w:p>
          <w:p>
            <w:pPr>
              <w:spacing w:line="320" w:lineRule="exact"/>
              <w:jc w:val="center"/>
              <w:rPr>
                <w:rFonts w:ascii="宋体" w:hAnsi="宋体" w:eastAsia="宋体" w:cs="宋体"/>
                <w:kern w:val="2"/>
                <w:sz w:val="21"/>
                <w:szCs w:val="21"/>
                <w:lang w:eastAsia="zh-CN"/>
              </w:rPr>
            </w:pPr>
            <w:r>
              <w:rPr>
                <w:rFonts w:hint="eastAsia" w:ascii="宋体" w:hAnsi="宋体" w:eastAsia="宋体" w:cs="宋体"/>
                <w:kern w:val="2"/>
                <w:sz w:val="21"/>
                <w:szCs w:val="21"/>
                <w:lang w:eastAsia="zh-CN"/>
              </w:rPr>
              <w:t>75.435 km</w:t>
            </w:r>
          </w:p>
        </w:tc>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rPr>
                <w:rFonts w:ascii="宋体" w:hAnsi="宋体" w:eastAsia="宋体" w:cs="宋体"/>
                <w:sz w:val="21"/>
                <w:szCs w:val="21"/>
                <w:lang w:eastAsia="zh-CN"/>
              </w:rPr>
            </w:pPr>
            <w:r>
              <w:rPr>
                <w:rFonts w:hint="eastAsia" w:ascii="宋体" w:hAnsi="宋体" w:eastAsia="宋体" w:cs="宋体"/>
                <w:color w:val="000000"/>
                <w:sz w:val="21"/>
                <w:szCs w:val="21"/>
                <w:lang w:eastAsia="zh-CN"/>
              </w:rPr>
              <w:t>包括对房建施工单位的工程质量、工程投资、工程进度、合同管理、</w:t>
            </w:r>
            <w:r>
              <w:rPr>
                <w:rFonts w:hint="eastAsia" w:ascii="宋体" w:hAnsi="宋体" w:eastAsia="宋体" w:cs="宋体"/>
                <w:sz w:val="21"/>
                <w:szCs w:val="21"/>
                <w:lang w:eastAsia="zh-CN"/>
              </w:rPr>
              <w:t>“五化”</w:t>
            </w:r>
            <w:r>
              <w:rPr>
                <w:rFonts w:hint="eastAsia" w:ascii="宋体" w:hAnsi="宋体" w:eastAsia="宋体" w:cs="宋体"/>
                <w:color w:val="000000"/>
                <w:sz w:val="21"/>
                <w:szCs w:val="21"/>
                <w:lang w:eastAsia="zh-CN"/>
              </w:rPr>
              <w:t>管理、环保水保管理、档案管理、安全管理、施工环境保护、</w:t>
            </w:r>
            <w:r>
              <w:rPr>
                <w:rFonts w:hint="eastAsia" w:ascii="宋体" w:hAnsi="宋体" w:eastAsia="宋体" w:cs="宋体"/>
                <w:b/>
                <w:bCs/>
                <w:sz w:val="21"/>
                <w:szCs w:val="21"/>
                <w:lang w:eastAsia="zh-CN"/>
              </w:rPr>
              <w:t>试验检测</w:t>
            </w:r>
            <w:r>
              <w:rPr>
                <w:rFonts w:hint="eastAsia" w:ascii="宋体" w:hAnsi="宋体" w:eastAsia="宋体" w:cs="宋体"/>
                <w:sz w:val="21"/>
                <w:szCs w:val="21"/>
                <w:lang w:eastAsia="zh-CN"/>
              </w:rPr>
              <w:t>等方面负</w:t>
            </w:r>
            <w:r>
              <w:rPr>
                <w:rFonts w:hint="eastAsia" w:ascii="宋体" w:hAnsi="宋体" w:eastAsia="宋体" w:cs="宋体"/>
                <w:color w:val="000000"/>
                <w:sz w:val="21"/>
                <w:szCs w:val="21"/>
                <w:lang w:eastAsia="zh-CN"/>
              </w:rPr>
              <w:t>全部监理责任。</w:t>
            </w:r>
          </w:p>
        </w:tc>
        <w:tc>
          <w:tcPr>
            <w:tcW w:w="1837" w:type="dxa"/>
            <w:vMerge w:val="restart"/>
            <w:tcBorders>
              <w:top w:val="single" w:color="auto" w:sz="4" w:space="0"/>
              <w:left w:val="single" w:color="auto" w:sz="4" w:space="0"/>
              <w:right w:val="single" w:color="auto" w:sz="4" w:space="0"/>
            </w:tcBorders>
            <w:shd w:val="clear" w:color="auto" w:fill="auto"/>
            <w:vAlign w:val="center"/>
          </w:tcPr>
          <w:p>
            <w:pPr>
              <w:textAlignment w:val="top"/>
              <w:rPr>
                <w:rFonts w:ascii="宋体" w:hAnsi="宋体" w:eastAsia="宋体" w:cs="宋体"/>
                <w:sz w:val="21"/>
                <w:szCs w:val="21"/>
                <w:lang w:eastAsia="zh-CN"/>
              </w:rPr>
            </w:pPr>
            <w:r>
              <w:rPr>
                <w:rFonts w:hint="eastAsia" w:ascii="宋体" w:hAnsi="宋体" w:eastAsia="宋体" w:cs="宋体"/>
                <w:color w:val="000000"/>
                <w:sz w:val="21"/>
                <w:szCs w:val="21"/>
                <w:lang w:val="zh-CN" w:eastAsia="zh-CN"/>
              </w:rPr>
              <w:t>施工阶段监理服务期（</w:t>
            </w:r>
            <w:r>
              <w:rPr>
                <w:rFonts w:hint="eastAsia" w:ascii="宋体" w:hAnsi="宋体" w:eastAsia="宋体" w:cs="宋体"/>
                <w:color w:val="000000"/>
                <w:sz w:val="21"/>
                <w:szCs w:val="21"/>
                <w:lang w:eastAsia="zh-CN"/>
              </w:rPr>
              <w:t>含</w:t>
            </w:r>
            <w:r>
              <w:rPr>
                <w:rFonts w:hint="eastAsia" w:ascii="宋体" w:hAnsi="宋体" w:eastAsia="宋体" w:cs="宋体"/>
                <w:color w:val="000000"/>
                <w:sz w:val="21"/>
                <w:szCs w:val="21"/>
                <w:lang w:val="zh-CN" w:eastAsia="zh-CN"/>
              </w:rPr>
              <w:t>施工准备</w:t>
            </w:r>
            <w:r>
              <w:rPr>
                <w:rFonts w:hint="eastAsia" w:ascii="宋体" w:hAnsi="宋体" w:eastAsia="宋体" w:cs="宋体"/>
                <w:color w:val="000000"/>
                <w:sz w:val="21"/>
                <w:szCs w:val="21"/>
                <w:lang w:eastAsia="zh-CN"/>
              </w:rPr>
              <w:t>阶段</w:t>
            </w:r>
            <w:r>
              <w:rPr>
                <w:rFonts w:hint="eastAsia" w:ascii="宋体" w:hAnsi="宋体" w:eastAsia="宋体" w:cs="宋体"/>
                <w:color w:val="000000"/>
                <w:sz w:val="21"/>
                <w:szCs w:val="21"/>
                <w:lang w:val="zh-CN" w:eastAsia="zh-CN"/>
              </w:rPr>
              <w:t>）暂定18个月，实际以</w:t>
            </w:r>
            <w:r>
              <w:rPr>
                <w:rFonts w:hint="eastAsia" w:ascii="宋体" w:hAnsi="宋体" w:eastAsia="宋体" w:cs="宋体"/>
                <w:sz w:val="21"/>
                <w:szCs w:val="21"/>
                <w:lang w:eastAsia="zh-CN"/>
              </w:rPr>
              <w:t>甲方正式通知进场之日起至项目交工验收通过之日止；</w:t>
            </w:r>
            <w:r>
              <w:rPr>
                <w:rFonts w:hint="eastAsia" w:ascii="宋体" w:hAnsi="宋体" w:eastAsia="宋体" w:cs="宋体"/>
                <w:color w:val="000000"/>
                <w:sz w:val="21"/>
                <w:szCs w:val="21"/>
                <w:lang w:val="zh-CN" w:eastAsia="zh-CN"/>
              </w:rPr>
              <w:t>交工验收与缺陷责任期阶段监理服务期</w:t>
            </w:r>
            <w:r>
              <w:rPr>
                <w:rFonts w:hint="eastAsia" w:ascii="宋体" w:hAnsi="宋体" w:eastAsia="宋体" w:cs="宋体"/>
                <w:color w:val="000000"/>
                <w:sz w:val="21"/>
                <w:szCs w:val="21"/>
                <w:lang w:eastAsia="zh-CN"/>
              </w:rPr>
              <w:t>24</w:t>
            </w:r>
            <w:r>
              <w:rPr>
                <w:rFonts w:hint="eastAsia" w:ascii="宋体" w:hAnsi="宋体" w:eastAsia="宋体" w:cs="宋体"/>
                <w:color w:val="000000"/>
                <w:sz w:val="21"/>
                <w:szCs w:val="21"/>
                <w:lang w:val="zh-CN" w:eastAsia="zh-CN"/>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13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MTJDZJ标段(眉太机电总监办)</w:t>
            </w:r>
          </w:p>
        </w:tc>
        <w:tc>
          <w:tcPr>
            <w:tcW w:w="1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sz w:val="21"/>
                <w:szCs w:val="21"/>
                <w:lang w:eastAsia="zh-CN"/>
              </w:rPr>
            </w:pPr>
            <w:r>
              <w:rPr>
                <w:rFonts w:hint="eastAsia" w:ascii="宋体" w:hAnsi="宋体" w:eastAsia="宋体" w:cs="宋体"/>
                <w:color w:val="000000"/>
                <w:sz w:val="21"/>
                <w:szCs w:val="21"/>
                <w:lang w:eastAsia="zh-CN"/>
              </w:rPr>
              <w:t>负责全线机电工程监理服务（不含旅游部分机电工程）</w:t>
            </w:r>
          </w:p>
        </w:tc>
        <w:tc>
          <w:tcPr>
            <w:tcW w:w="1276" w:type="dxa"/>
            <w:vMerge w:val="continue"/>
            <w:tcBorders>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宋体"/>
                <w:kern w:val="2"/>
                <w:sz w:val="21"/>
                <w:szCs w:val="21"/>
                <w:lang w:eastAsia="zh-CN"/>
              </w:rPr>
            </w:pPr>
          </w:p>
        </w:tc>
        <w:tc>
          <w:tcPr>
            <w:tcW w:w="39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both"/>
              <w:rPr>
                <w:rFonts w:ascii="宋体" w:hAnsi="宋体" w:eastAsia="宋体" w:cs="宋体"/>
                <w:sz w:val="21"/>
                <w:szCs w:val="21"/>
                <w:lang w:eastAsia="zh-CN"/>
              </w:rPr>
            </w:pPr>
            <w:r>
              <w:rPr>
                <w:rFonts w:hint="eastAsia" w:ascii="宋体" w:hAnsi="宋体" w:eastAsia="宋体" w:cs="宋体"/>
                <w:color w:val="000000"/>
                <w:sz w:val="21"/>
                <w:szCs w:val="21"/>
                <w:lang w:eastAsia="zh-CN"/>
              </w:rPr>
              <w:t>包括对机电施工单位的工程质量、工程投资、工程进度、合同管理、</w:t>
            </w:r>
            <w:r>
              <w:rPr>
                <w:rFonts w:hint="eastAsia" w:ascii="宋体" w:hAnsi="宋体" w:eastAsia="宋体" w:cs="宋体"/>
                <w:sz w:val="21"/>
                <w:szCs w:val="21"/>
                <w:lang w:eastAsia="zh-CN"/>
              </w:rPr>
              <w:t>“五化”</w:t>
            </w:r>
            <w:r>
              <w:rPr>
                <w:rFonts w:hint="eastAsia" w:ascii="宋体" w:hAnsi="宋体" w:eastAsia="宋体" w:cs="宋体"/>
                <w:color w:val="000000"/>
                <w:sz w:val="21"/>
                <w:szCs w:val="21"/>
                <w:lang w:eastAsia="zh-CN"/>
              </w:rPr>
              <w:t>管理、环保水保管理、档案管理、安全管理、施工环境保护、</w:t>
            </w:r>
            <w:r>
              <w:rPr>
                <w:rFonts w:hint="eastAsia" w:ascii="宋体" w:hAnsi="宋体" w:eastAsia="宋体" w:cs="宋体"/>
                <w:b/>
                <w:bCs/>
                <w:sz w:val="21"/>
                <w:szCs w:val="21"/>
                <w:lang w:eastAsia="zh-CN"/>
              </w:rPr>
              <w:t>试验检测</w:t>
            </w:r>
            <w:r>
              <w:rPr>
                <w:rFonts w:hint="eastAsia" w:ascii="宋体" w:hAnsi="宋体" w:eastAsia="宋体" w:cs="宋体"/>
                <w:sz w:val="21"/>
                <w:szCs w:val="21"/>
                <w:lang w:eastAsia="zh-CN"/>
              </w:rPr>
              <w:t>等方面</w:t>
            </w:r>
            <w:r>
              <w:rPr>
                <w:rFonts w:hint="eastAsia" w:ascii="宋体" w:hAnsi="宋体" w:eastAsia="宋体" w:cs="宋体"/>
                <w:color w:val="000000"/>
                <w:sz w:val="21"/>
                <w:szCs w:val="21"/>
                <w:lang w:eastAsia="zh-CN"/>
              </w:rPr>
              <w:t>负全部监理责任。</w:t>
            </w:r>
          </w:p>
        </w:tc>
        <w:tc>
          <w:tcPr>
            <w:tcW w:w="1837" w:type="dxa"/>
            <w:vMerge w:val="continue"/>
            <w:tcBorders>
              <w:left w:val="single" w:color="auto" w:sz="4" w:space="0"/>
              <w:bottom w:val="single" w:color="auto" w:sz="4" w:space="0"/>
              <w:right w:val="single" w:color="auto" w:sz="4" w:space="0"/>
            </w:tcBorders>
            <w:shd w:val="clear" w:color="auto" w:fill="auto"/>
            <w:vAlign w:val="center"/>
          </w:tcPr>
          <w:p>
            <w:pPr>
              <w:textAlignment w:val="top"/>
              <w:rPr>
                <w:rFonts w:ascii="宋体" w:hAnsi="宋体" w:eastAsia="宋体" w:cs="宋体"/>
                <w:sz w:val="21"/>
                <w:szCs w:val="21"/>
                <w:lang w:eastAsia="zh-CN"/>
              </w:rPr>
            </w:pPr>
          </w:p>
        </w:tc>
      </w:tr>
    </w:tbl>
    <w:p>
      <w:pPr>
        <w:spacing w:before="183" w:line="360" w:lineRule="auto"/>
        <w:ind w:right="194"/>
        <w:rPr>
          <w:rFonts w:ascii="宋体" w:hAnsi="宋体" w:eastAsia="宋体" w:cs="宋体"/>
          <w:b/>
          <w:spacing w:val="-18"/>
          <w:sz w:val="24"/>
          <w:szCs w:val="24"/>
          <w:lang w:eastAsia="zh-CN"/>
        </w:rPr>
      </w:pPr>
      <w:r>
        <w:rPr>
          <w:rFonts w:hint="eastAsia" w:ascii="宋体" w:hAnsi="宋体" w:eastAsia="宋体" w:cs="宋体"/>
          <w:b/>
          <w:spacing w:val="-18"/>
          <w:sz w:val="24"/>
          <w:szCs w:val="24"/>
          <w:lang w:eastAsia="zh-CN"/>
        </w:rPr>
        <w:t>3. 投标人资格要求</w:t>
      </w:r>
    </w:p>
    <w:p>
      <w:pPr>
        <w:pStyle w:val="12"/>
        <w:tabs>
          <w:tab w:val="left" w:pos="1852"/>
          <w:tab w:val="left" w:pos="2155"/>
          <w:tab w:val="left" w:pos="2702"/>
          <w:tab w:val="left" w:pos="3770"/>
          <w:tab w:val="left" w:pos="5080"/>
          <w:tab w:val="left" w:pos="5830"/>
          <w:tab w:val="left" w:pos="6440"/>
          <w:tab w:val="left" w:pos="7710"/>
        </w:tabs>
        <w:spacing w:line="360" w:lineRule="auto"/>
        <w:ind w:left="13" w:right="-62" w:firstLine="259" w:firstLineChars="108"/>
        <w:rPr>
          <w:rFonts w:ascii="宋体" w:hAnsi="宋体" w:eastAsia="宋体" w:cs="宋体"/>
          <w:szCs w:val="24"/>
          <w:lang w:eastAsia="zh-CN"/>
        </w:rPr>
      </w:pPr>
      <w:r>
        <w:rPr>
          <w:rFonts w:hint="eastAsia" w:ascii="宋体" w:hAnsi="宋体" w:eastAsia="宋体" w:cs="宋体"/>
          <w:szCs w:val="24"/>
          <w:lang w:eastAsia="zh-CN"/>
        </w:rPr>
        <w:t>3.1 本次招标要求投标人须具备下列相应资质业绩信誉，并在人员等方面具有相应的施工监理能力。</w:t>
      </w:r>
    </w:p>
    <w:tbl>
      <w:tblPr>
        <w:tblStyle w:val="13"/>
        <w:tblW w:w="979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1"/>
        <w:gridCol w:w="4671"/>
        <w:gridCol w:w="43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751" w:type="dxa"/>
            <w:vMerge w:val="restart"/>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right="125"/>
              <w:jc w:val="center"/>
              <w:rPr>
                <w:rFonts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项目</w:t>
            </w:r>
          </w:p>
        </w:tc>
        <w:tc>
          <w:tcPr>
            <w:tcW w:w="9048" w:type="dxa"/>
            <w:gridSpan w:val="2"/>
            <w:tcBorders>
              <w:top w:val="single" w:color="000000" w:sz="6" w:space="0"/>
              <w:left w:val="single" w:color="000000" w:sz="6" w:space="0"/>
              <w:bottom w:val="single" w:color="000000" w:sz="8" w:space="0"/>
              <w:right w:val="single" w:color="000000" w:sz="6" w:space="0"/>
            </w:tcBorders>
            <w:shd w:val="clear" w:color="auto" w:fill="auto"/>
            <w:vAlign w:val="center"/>
          </w:tcPr>
          <w:p>
            <w:pPr>
              <w:pStyle w:val="12"/>
              <w:ind w:left="2979" w:right="121" w:hanging="2979" w:hangingChars="1413"/>
              <w:jc w:val="center"/>
              <w:rPr>
                <w:rFonts w:ascii="宋体" w:hAnsi="宋体" w:eastAsia="宋体" w:cs="宋体"/>
                <w:b/>
                <w:kern w:val="2"/>
                <w:sz w:val="21"/>
                <w:szCs w:val="21"/>
                <w:highlight w:val="none"/>
                <w:lang w:eastAsia="zh-CN"/>
              </w:rPr>
            </w:pPr>
            <w:r>
              <w:rPr>
                <w:rFonts w:hint="eastAsia" w:ascii="宋体" w:hAnsi="宋体" w:eastAsia="宋体" w:cs="宋体"/>
                <w:b/>
                <w:kern w:val="2"/>
                <w:sz w:val="21"/>
                <w:szCs w:val="21"/>
                <w:highlight w:val="none"/>
                <w:lang w:eastAsia="zh-CN"/>
              </w:rPr>
              <w:t>资格审查条件最低要求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jc w:val="center"/>
        </w:trPr>
        <w:tc>
          <w:tcPr>
            <w:tcW w:w="751" w:type="dxa"/>
            <w:vMerge w:val="continue"/>
            <w:tcBorders>
              <w:top w:val="single" w:color="000000" w:sz="6" w:space="0"/>
              <w:left w:val="single" w:color="000000" w:sz="6" w:space="0"/>
              <w:bottom w:val="single" w:color="000000" w:sz="6" w:space="0"/>
              <w:right w:val="single" w:color="000000" w:sz="6" w:space="0"/>
            </w:tcBorders>
            <w:shd w:val="clear" w:color="auto" w:fill="auto"/>
            <w:vAlign w:val="center"/>
          </w:tcPr>
          <w:p>
            <w:pPr>
              <w:rPr>
                <w:rFonts w:ascii="宋体" w:hAnsi="宋体" w:eastAsia="宋体" w:cs="宋体"/>
                <w:kern w:val="2"/>
                <w:sz w:val="21"/>
                <w:szCs w:val="21"/>
                <w:highlight w:val="none"/>
                <w:lang w:eastAsia="zh-CN"/>
              </w:rPr>
            </w:pPr>
          </w:p>
        </w:tc>
        <w:tc>
          <w:tcPr>
            <w:tcW w:w="4671" w:type="dxa"/>
            <w:tcBorders>
              <w:top w:val="single" w:color="000000" w:sz="8" w:space="0"/>
              <w:left w:val="single" w:color="000000" w:sz="6" w:space="0"/>
              <w:bottom w:val="single" w:color="000000" w:sz="6" w:space="0"/>
              <w:right w:val="single" w:color="000000" w:sz="6" w:space="0"/>
            </w:tcBorders>
            <w:shd w:val="clear" w:color="auto" w:fill="auto"/>
            <w:vAlign w:val="center"/>
          </w:tcPr>
          <w:p>
            <w:pPr>
              <w:pStyle w:val="12"/>
              <w:spacing w:before="46"/>
              <w:ind w:left="127"/>
              <w:jc w:val="center"/>
              <w:rPr>
                <w:rFonts w:ascii="宋体" w:hAnsi="宋体" w:eastAsia="宋体" w:cs="宋体"/>
                <w:b/>
                <w:kern w:val="2"/>
                <w:sz w:val="21"/>
                <w:szCs w:val="21"/>
                <w:highlight w:val="none"/>
              </w:rPr>
            </w:pPr>
            <w:r>
              <w:rPr>
                <w:rFonts w:hint="eastAsia" w:ascii="宋体" w:hAnsi="宋体" w:eastAsia="宋体" w:cs="宋体"/>
                <w:sz w:val="21"/>
                <w:szCs w:val="21"/>
                <w:highlight w:val="none"/>
                <w:lang w:eastAsia="zh-CN"/>
              </w:rPr>
              <w:t>MTFJZJ标段</w:t>
            </w:r>
          </w:p>
        </w:tc>
        <w:tc>
          <w:tcPr>
            <w:tcW w:w="4377" w:type="dxa"/>
            <w:tcBorders>
              <w:top w:val="single" w:color="000000" w:sz="8" w:space="0"/>
              <w:left w:val="single" w:color="000000" w:sz="6" w:space="0"/>
              <w:bottom w:val="single" w:color="000000" w:sz="6" w:space="0"/>
              <w:right w:val="single" w:color="000000" w:sz="6" w:space="0"/>
            </w:tcBorders>
            <w:shd w:val="clear" w:color="auto" w:fill="auto"/>
            <w:vAlign w:val="center"/>
          </w:tcPr>
          <w:p>
            <w:pPr>
              <w:pStyle w:val="12"/>
              <w:spacing w:before="46"/>
              <w:ind w:left="127"/>
              <w:jc w:val="center"/>
              <w:rPr>
                <w:rFonts w:ascii="宋体" w:hAnsi="宋体" w:eastAsia="宋体" w:cs="宋体"/>
                <w:b/>
                <w:kern w:val="2"/>
                <w:sz w:val="21"/>
                <w:szCs w:val="21"/>
                <w:highlight w:val="none"/>
              </w:rPr>
            </w:pPr>
            <w:r>
              <w:rPr>
                <w:rFonts w:hint="eastAsia" w:ascii="宋体" w:hAnsi="宋体" w:eastAsia="宋体" w:cs="宋体"/>
                <w:sz w:val="21"/>
                <w:szCs w:val="21"/>
                <w:highlight w:val="none"/>
                <w:lang w:eastAsia="zh-CN"/>
              </w:rPr>
              <w:t>MTJDZJ标段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8" w:hRule="atLeast"/>
          <w:jc w:val="center"/>
        </w:trPr>
        <w:tc>
          <w:tcPr>
            <w:tcW w:w="751" w:type="dxa"/>
            <w:vMerge w:val="restart"/>
            <w:tcBorders>
              <w:top w:val="single" w:color="000000" w:sz="6" w:space="0"/>
              <w:left w:val="single" w:color="000000" w:sz="6" w:space="0"/>
              <w:right w:val="single" w:color="000000" w:sz="6" w:space="0"/>
            </w:tcBorders>
            <w:shd w:val="clear" w:color="auto" w:fill="auto"/>
            <w:vAlign w:val="center"/>
          </w:tcPr>
          <w:p>
            <w:pPr>
              <w:pStyle w:val="12"/>
              <w:spacing w:before="135"/>
              <w:ind w:left="247" w:right="125"/>
              <w:jc w:val="both"/>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资质要求</w:t>
            </w:r>
          </w:p>
        </w:tc>
        <w:tc>
          <w:tcPr>
            <w:tcW w:w="4671" w:type="dxa"/>
            <w:tcBorders>
              <w:top w:val="single" w:color="000000" w:sz="8"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投标人具备独立的法人资格，持有工商行政管理部门核发的有效企业法人营业执照</w:t>
            </w:r>
          </w:p>
        </w:tc>
        <w:tc>
          <w:tcPr>
            <w:tcW w:w="4377" w:type="dxa"/>
            <w:tcBorders>
              <w:top w:val="single" w:color="000000" w:sz="8"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投标人具备独立的法人资格，持有工商行政管理部门核发的有效企业法人营业执照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7" w:hRule="atLeast"/>
          <w:jc w:val="center"/>
        </w:trPr>
        <w:tc>
          <w:tcPr>
            <w:tcW w:w="751" w:type="dxa"/>
            <w:vMerge w:val="continue"/>
            <w:tcBorders>
              <w:left w:val="single" w:color="000000" w:sz="6" w:space="0"/>
              <w:bottom w:val="single" w:color="000000" w:sz="6" w:space="0"/>
              <w:right w:val="single" w:color="000000" w:sz="6" w:space="0"/>
            </w:tcBorders>
            <w:shd w:val="clear" w:color="auto" w:fill="auto"/>
            <w:vAlign w:val="center"/>
          </w:tcPr>
          <w:p>
            <w:pPr>
              <w:pStyle w:val="12"/>
              <w:spacing w:before="135"/>
              <w:ind w:left="247" w:right="125"/>
              <w:jc w:val="both"/>
              <w:rPr>
                <w:rFonts w:ascii="宋体" w:hAnsi="宋体" w:eastAsia="宋体" w:cs="宋体"/>
                <w:kern w:val="2"/>
                <w:sz w:val="21"/>
                <w:szCs w:val="21"/>
                <w:highlight w:val="none"/>
                <w:lang w:eastAsia="zh-CN"/>
              </w:rPr>
            </w:pPr>
          </w:p>
        </w:tc>
        <w:tc>
          <w:tcPr>
            <w:tcW w:w="4671"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具有中华人民共和国住房和城乡建设部颁发的工程监理综合资质或房屋建筑工程监理乙级（或以上）资质证书，资质证书处于有效期。</w:t>
            </w:r>
          </w:p>
        </w:tc>
        <w:tc>
          <w:tcPr>
            <w:tcW w:w="4377"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具有交通运输主管部门颁发的公路机电工程专项监理资质证书，且资质应列入交通运输部全国公路工程监理资质企业名录。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28" w:hRule="atLeast"/>
          <w:jc w:val="center"/>
        </w:trPr>
        <w:tc>
          <w:tcPr>
            <w:tcW w:w="751"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left="247" w:right="125"/>
              <w:jc w:val="both"/>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业绩要求</w:t>
            </w:r>
          </w:p>
        </w:tc>
        <w:tc>
          <w:tcPr>
            <w:tcW w:w="4671" w:type="dxa"/>
            <w:tcBorders>
              <w:top w:val="single" w:color="000000" w:sz="6" w:space="0"/>
              <w:left w:val="single" w:color="000000" w:sz="6" w:space="0"/>
              <w:bottom w:val="single" w:color="000000" w:sz="6" w:space="0"/>
              <w:right w:val="single" w:color="000000" w:sz="6" w:space="0"/>
            </w:tcBorders>
            <w:shd w:val="clear" w:color="auto" w:fill="auto"/>
            <w:vAlign w:val="center"/>
          </w:tcPr>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近5年内至少有1个已通过交工验收且单个合同段总建筑面积1万平方米及以上的建筑工程施工监理，或者1个已通过交工验收的高速公路配套的房建工程施工监理（合同内容主要为监控分中心或收费站或服务区或隧道管理所等，不限建筑面积）。</w:t>
            </w:r>
          </w:p>
        </w:tc>
        <w:tc>
          <w:tcPr>
            <w:tcW w:w="4377" w:type="dxa"/>
            <w:tcBorders>
              <w:top w:val="single" w:color="000000" w:sz="6" w:space="0"/>
              <w:left w:val="single" w:color="000000" w:sz="6" w:space="0"/>
              <w:bottom w:val="single" w:color="000000" w:sz="6" w:space="0"/>
              <w:right w:val="single" w:color="000000" w:sz="6" w:space="0"/>
            </w:tcBorders>
            <w:shd w:val="clear" w:color="auto" w:fill="auto"/>
            <w:vAlign w:val="center"/>
          </w:tcPr>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近5年内至少有1个已通过交工验收且单个合同段总里程50公里及以上的高速公路机电工程（含通信、监控、收费综合系统工程）的施工监理；或近5年内通过交工验收且累计独立完成里程100公里及以上的高速公路机电工程（含通信、监控、收费综合系统工程）施工监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46" w:hRule="atLeast"/>
          <w:jc w:val="center"/>
        </w:trPr>
        <w:tc>
          <w:tcPr>
            <w:tcW w:w="751"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spacing w:before="135"/>
              <w:ind w:left="247" w:right="125"/>
              <w:jc w:val="both"/>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信誉要求</w:t>
            </w:r>
          </w:p>
        </w:tc>
        <w:tc>
          <w:tcPr>
            <w:tcW w:w="4671"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不接受被工商行政管理机关在全国企业信用信息公示系统中列入严重违法企业名单的或被最高人民法院在“信用中国”网站（www.creditchina.gov.cn）或各级信用信息共享平台中列入失信被执行名单的投标人</w:t>
            </w:r>
          </w:p>
        </w:tc>
        <w:tc>
          <w:tcPr>
            <w:tcW w:w="4377"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12"/>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不接受被工商行政管理机关在全国企业信用信息公示系统中列入严重违法企业名单的或被最高人民法院在“信用中国”网站（www.creditchina.gov.cn）或各级信用信息共享平台中列入失信被执行名单的投标人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92" w:hRule="atLeast"/>
          <w:jc w:val="center"/>
        </w:trPr>
        <w:tc>
          <w:tcPr>
            <w:tcW w:w="751" w:type="dxa"/>
            <w:vMerge w:val="restart"/>
            <w:tcBorders>
              <w:top w:val="single" w:color="000000" w:sz="6" w:space="0"/>
              <w:left w:val="single" w:color="000000" w:sz="6" w:space="0"/>
              <w:right w:val="single" w:color="000000" w:sz="6" w:space="0"/>
            </w:tcBorders>
            <w:shd w:val="clear" w:color="auto" w:fill="auto"/>
            <w:vAlign w:val="center"/>
          </w:tcPr>
          <w:p>
            <w:pPr>
              <w:pStyle w:val="12"/>
              <w:ind w:left="247" w:right="125"/>
              <w:jc w:val="both"/>
              <w:rPr>
                <w:rFonts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项目负责人要求</w:t>
            </w:r>
          </w:p>
        </w:tc>
        <w:tc>
          <w:tcPr>
            <w:tcW w:w="4671" w:type="dxa"/>
            <w:tcBorders>
              <w:top w:val="single" w:color="000000" w:sz="6" w:space="0"/>
              <w:left w:val="single" w:color="000000" w:sz="6" w:space="0"/>
              <w:bottom w:val="single" w:color="000000" w:sz="6" w:space="0"/>
              <w:right w:val="single" w:color="000000" w:sz="6" w:space="0"/>
            </w:tcBorders>
            <w:shd w:val="clear" w:color="auto" w:fill="auto"/>
            <w:vAlign w:val="center"/>
          </w:tcPr>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1.</w:t>
            </w:r>
            <w:r>
              <w:rPr>
                <w:rFonts w:hint="eastAsia" w:ascii="宋体" w:hAnsi="宋体" w:eastAsia="宋体" w:cs="宋体"/>
                <w:kern w:val="2"/>
                <w:sz w:val="21"/>
                <w:szCs w:val="21"/>
                <w:highlight w:val="none"/>
                <w:lang w:val="zh-CN" w:eastAsia="zh-CN"/>
              </w:rPr>
              <w:t>具有</w:t>
            </w:r>
            <w:r>
              <w:rPr>
                <w:rFonts w:hint="eastAsia" w:ascii="宋体" w:hAnsi="宋体" w:eastAsia="宋体" w:cs="宋体"/>
                <w:kern w:val="2"/>
                <w:sz w:val="21"/>
                <w:szCs w:val="21"/>
                <w:highlight w:val="none"/>
                <w:lang w:eastAsia="zh-CN"/>
              </w:rPr>
              <w:t>建设行政主管部门</w:t>
            </w:r>
            <w:r>
              <w:rPr>
                <w:rFonts w:hint="eastAsia" w:ascii="宋体" w:hAnsi="宋体" w:eastAsia="宋体" w:cs="宋体"/>
                <w:kern w:val="2"/>
                <w:sz w:val="21"/>
                <w:szCs w:val="21"/>
                <w:highlight w:val="none"/>
                <w:lang w:val="zh-CN" w:eastAsia="zh-CN"/>
              </w:rPr>
              <w:t>颁发的房屋建筑工程注册监理工程师证书，</w:t>
            </w:r>
            <w:r>
              <w:rPr>
                <w:rFonts w:hint="eastAsia" w:ascii="宋体" w:hAnsi="宋体" w:eastAsia="宋体" w:cs="宋体"/>
                <w:kern w:val="2"/>
                <w:sz w:val="21"/>
                <w:szCs w:val="21"/>
                <w:highlight w:val="none"/>
                <w:lang w:eastAsia="zh-CN"/>
              </w:rPr>
              <w:t>注册单位与投标单位须一致。</w:t>
            </w:r>
          </w:p>
          <w:p>
            <w:pPr>
              <w:ind w:firstLine="420" w:firstLineChars="200"/>
              <w:rPr>
                <w:rFonts w:ascii="宋体" w:hAnsi="宋体" w:eastAsia="宋体" w:cs="宋体"/>
                <w:kern w:val="2"/>
                <w:sz w:val="21"/>
                <w:szCs w:val="21"/>
                <w:highlight w:val="none"/>
                <w:lang w:val="zh-CN" w:eastAsia="zh-CN"/>
              </w:rPr>
            </w:pPr>
            <w:r>
              <w:rPr>
                <w:rFonts w:hint="eastAsia" w:ascii="宋体" w:hAnsi="宋体" w:eastAsia="宋体" w:cs="宋体"/>
                <w:kern w:val="2"/>
                <w:sz w:val="21"/>
                <w:szCs w:val="21"/>
                <w:highlight w:val="none"/>
                <w:lang w:eastAsia="zh-CN"/>
              </w:rPr>
              <w:t>2.</w:t>
            </w:r>
            <w:r>
              <w:rPr>
                <w:rFonts w:hint="eastAsia" w:ascii="宋体" w:hAnsi="宋体" w:eastAsia="宋体" w:cs="宋体"/>
                <w:kern w:val="2"/>
                <w:sz w:val="21"/>
                <w:szCs w:val="21"/>
                <w:highlight w:val="none"/>
                <w:lang w:val="zh-CN" w:eastAsia="zh-CN"/>
              </w:rPr>
              <w:t>具有</w:t>
            </w:r>
            <w:r>
              <w:rPr>
                <w:rFonts w:hint="eastAsia" w:ascii="宋体" w:hAnsi="宋体" w:eastAsia="宋体" w:cs="宋体"/>
                <w:kern w:val="2"/>
                <w:sz w:val="21"/>
                <w:szCs w:val="21"/>
                <w:highlight w:val="none"/>
                <w:lang w:eastAsia="zh-CN"/>
              </w:rPr>
              <w:t>中</w:t>
            </w:r>
            <w:r>
              <w:rPr>
                <w:rFonts w:hint="eastAsia" w:ascii="宋体" w:hAnsi="宋体" w:eastAsia="宋体" w:cs="宋体"/>
                <w:kern w:val="2"/>
                <w:sz w:val="21"/>
                <w:szCs w:val="21"/>
                <w:highlight w:val="none"/>
                <w:lang w:val="zh-CN" w:eastAsia="zh-CN"/>
              </w:rPr>
              <w:t>级</w:t>
            </w:r>
            <w:r>
              <w:rPr>
                <w:rFonts w:hint="eastAsia" w:ascii="宋体" w:hAnsi="宋体" w:eastAsia="宋体" w:cs="宋体"/>
                <w:kern w:val="2"/>
                <w:sz w:val="21"/>
                <w:szCs w:val="21"/>
                <w:highlight w:val="none"/>
                <w:lang w:eastAsia="zh-CN"/>
              </w:rPr>
              <w:t>工程师及以上</w:t>
            </w:r>
            <w:r>
              <w:rPr>
                <w:rFonts w:hint="eastAsia" w:ascii="宋体" w:hAnsi="宋体" w:eastAsia="宋体" w:cs="宋体"/>
                <w:kern w:val="2"/>
                <w:sz w:val="21"/>
                <w:szCs w:val="21"/>
                <w:highlight w:val="none"/>
                <w:lang w:val="zh-CN" w:eastAsia="zh-CN"/>
              </w:rPr>
              <w:t>技术职称。</w:t>
            </w:r>
          </w:p>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3.</w:t>
            </w:r>
            <w:r>
              <w:rPr>
                <w:rFonts w:hint="eastAsia" w:ascii="宋体" w:hAnsi="宋体" w:eastAsia="宋体" w:cs="宋体"/>
                <w:kern w:val="2"/>
                <w:sz w:val="21"/>
                <w:szCs w:val="21"/>
                <w:highlight w:val="none"/>
                <w:lang w:val="zh-CN" w:eastAsia="zh-CN"/>
              </w:rPr>
              <w:t>作为</w:t>
            </w:r>
            <w:r>
              <w:rPr>
                <w:rFonts w:hint="eastAsia" w:ascii="宋体" w:hAnsi="宋体" w:eastAsia="宋体" w:cs="宋体"/>
                <w:kern w:val="2"/>
                <w:sz w:val="21"/>
                <w:szCs w:val="21"/>
                <w:highlight w:val="none"/>
                <w:lang w:eastAsia="zh-CN"/>
              </w:rPr>
              <w:t>总监理工程师或高级驻地监理工程师</w:t>
            </w:r>
            <w:r>
              <w:rPr>
                <w:rFonts w:hint="eastAsia" w:ascii="宋体" w:hAnsi="宋体" w:eastAsia="宋体" w:cs="宋体"/>
                <w:kern w:val="2"/>
                <w:sz w:val="21"/>
                <w:szCs w:val="21"/>
                <w:highlight w:val="none"/>
                <w:lang w:val="zh-CN" w:eastAsia="zh-CN"/>
              </w:rPr>
              <w:t>负责过1个</w:t>
            </w:r>
            <w:r>
              <w:rPr>
                <w:rFonts w:hint="eastAsia" w:ascii="宋体" w:hAnsi="宋体" w:eastAsia="宋体" w:cs="宋体"/>
                <w:kern w:val="2"/>
                <w:sz w:val="21"/>
                <w:szCs w:val="21"/>
                <w:highlight w:val="none"/>
                <w:lang w:eastAsia="zh-CN"/>
              </w:rPr>
              <w:t>类似项目的施工监理业绩：1个已通过交（竣）工验收且单个合同段总建筑面积1万平方米以上的建筑工程施工监理，或者1个已通过交（竣）工验收的高速公路配套的房建工程施工监理（主要为监控分中心或收费站或服务区或隧道管理所等，不限建筑面积）。</w:t>
            </w:r>
          </w:p>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4.从事房建专业监理工作5年以上。</w:t>
            </w:r>
          </w:p>
        </w:tc>
        <w:tc>
          <w:tcPr>
            <w:tcW w:w="4377" w:type="dxa"/>
            <w:tcBorders>
              <w:top w:val="single" w:color="000000" w:sz="6" w:space="0"/>
              <w:left w:val="single" w:color="000000" w:sz="6" w:space="0"/>
              <w:bottom w:val="single" w:color="000000" w:sz="6" w:space="0"/>
              <w:right w:val="single" w:color="000000" w:sz="6" w:space="0"/>
            </w:tcBorders>
            <w:shd w:val="clear" w:color="auto" w:fill="auto"/>
            <w:vAlign w:val="center"/>
          </w:tcPr>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1.具有建设行政主管部门</w:t>
            </w:r>
            <w:r>
              <w:rPr>
                <w:rFonts w:hint="eastAsia" w:ascii="宋体" w:hAnsi="宋体" w:eastAsia="宋体" w:cs="宋体"/>
                <w:kern w:val="2"/>
                <w:sz w:val="21"/>
                <w:szCs w:val="21"/>
                <w:highlight w:val="none"/>
                <w:lang w:val="zh-CN" w:eastAsia="zh-CN"/>
              </w:rPr>
              <w:t>颁发的</w:t>
            </w:r>
            <w:r>
              <w:rPr>
                <w:rFonts w:hint="eastAsia" w:ascii="宋体" w:hAnsi="宋体" w:eastAsia="宋体" w:cs="宋体"/>
                <w:kern w:val="2"/>
                <w:sz w:val="21"/>
                <w:szCs w:val="21"/>
                <w:highlight w:val="none"/>
                <w:lang w:eastAsia="zh-CN"/>
              </w:rPr>
              <w:t xml:space="preserve">公路工程监理工程师（机电工程专业），注册单位与投标单位须一致。 </w:t>
            </w:r>
          </w:p>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2.具有中级工程师及以上技术职称。</w:t>
            </w:r>
          </w:p>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3.</w:t>
            </w:r>
            <w:r>
              <w:rPr>
                <w:rFonts w:hint="eastAsia" w:ascii="宋体" w:hAnsi="宋体" w:eastAsia="宋体" w:cs="宋体"/>
                <w:kern w:val="2"/>
                <w:sz w:val="21"/>
                <w:szCs w:val="21"/>
                <w:highlight w:val="none"/>
                <w:lang w:val="zh-CN" w:eastAsia="zh-CN"/>
              </w:rPr>
              <w:t>作为</w:t>
            </w:r>
            <w:r>
              <w:rPr>
                <w:rFonts w:hint="eastAsia" w:ascii="宋体" w:hAnsi="宋体" w:eastAsia="宋体" w:cs="宋体"/>
                <w:kern w:val="2"/>
                <w:sz w:val="21"/>
                <w:szCs w:val="21"/>
                <w:highlight w:val="none"/>
                <w:lang w:eastAsia="zh-CN"/>
              </w:rPr>
              <w:t>总监理工程师或高级驻地总监理工程师</w:t>
            </w:r>
            <w:r>
              <w:rPr>
                <w:rFonts w:hint="eastAsia" w:ascii="宋体" w:hAnsi="宋体" w:eastAsia="宋体" w:cs="宋体"/>
                <w:kern w:val="2"/>
                <w:sz w:val="21"/>
                <w:szCs w:val="21"/>
                <w:highlight w:val="none"/>
                <w:lang w:val="zh-CN" w:eastAsia="zh-CN"/>
              </w:rPr>
              <w:t>负责过1个</w:t>
            </w:r>
            <w:r>
              <w:rPr>
                <w:rFonts w:hint="eastAsia" w:ascii="宋体" w:hAnsi="宋体" w:eastAsia="宋体" w:cs="宋体"/>
                <w:kern w:val="2"/>
                <w:sz w:val="21"/>
                <w:szCs w:val="21"/>
                <w:highlight w:val="none"/>
                <w:lang w:eastAsia="zh-CN"/>
              </w:rPr>
              <w:t>高速公路机电工程（含通信、监控、收费综合系统工程）的施工监理业绩。</w:t>
            </w:r>
          </w:p>
          <w:p>
            <w:pPr>
              <w:ind w:firstLine="420" w:firstLineChars="200"/>
              <w:rPr>
                <w:rFonts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4.从事机电专业监理工作5年以上。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5" w:hRule="atLeast"/>
          <w:jc w:val="center"/>
        </w:trPr>
        <w:tc>
          <w:tcPr>
            <w:tcW w:w="751" w:type="dxa"/>
            <w:vMerge w:val="continue"/>
            <w:tcBorders>
              <w:left w:val="single" w:color="000000" w:sz="6" w:space="0"/>
              <w:bottom w:val="single" w:color="000000" w:sz="6" w:space="0"/>
              <w:right w:val="single" w:color="000000" w:sz="6" w:space="0"/>
            </w:tcBorders>
            <w:shd w:val="clear" w:color="auto" w:fill="auto"/>
            <w:vAlign w:val="center"/>
          </w:tcPr>
          <w:p>
            <w:pPr>
              <w:ind w:firstLine="220"/>
              <w:rPr>
                <w:rFonts w:ascii="宋体" w:hAnsi="宋体" w:eastAsia="宋体" w:cs="宋体"/>
                <w:kern w:val="2"/>
                <w:sz w:val="21"/>
                <w:szCs w:val="21"/>
                <w:highlight w:val="none"/>
                <w:lang w:eastAsia="zh-CN"/>
              </w:rPr>
            </w:pPr>
          </w:p>
        </w:tc>
        <w:tc>
          <w:tcPr>
            <w:tcW w:w="904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pPr>
              <w:ind w:firstLine="220"/>
              <w:rPr>
                <w:rFonts w:ascii="宋体" w:hAnsi="宋体" w:eastAsia="宋体" w:cs="宋体"/>
                <w:b/>
                <w:bCs/>
                <w:kern w:val="2"/>
                <w:sz w:val="21"/>
                <w:szCs w:val="21"/>
                <w:highlight w:val="none"/>
                <w:lang w:eastAsia="zh-CN"/>
              </w:rPr>
            </w:pPr>
            <w:r>
              <w:rPr>
                <w:rFonts w:hint="eastAsia" w:ascii="宋体" w:hAnsi="宋体" w:eastAsia="宋体" w:cs="宋体"/>
                <w:kern w:val="2"/>
                <w:sz w:val="21"/>
                <w:szCs w:val="21"/>
                <w:highlight w:val="none"/>
                <w:lang w:eastAsia="zh-CN"/>
              </w:rPr>
              <w:t>无在岗项目（指目前未在其他项目上任职，或虽在其他项目上任职但本项目中标后能够从项目撤离）</w:t>
            </w:r>
          </w:p>
        </w:tc>
      </w:tr>
    </w:tbl>
    <w:p>
      <w:pPr>
        <w:pStyle w:val="12"/>
        <w:tabs>
          <w:tab w:val="left" w:pos="2560"/>
          <w:tab w:val="left" w:pos="2635"/>
          <w:tab w:val="left" w:pos="2702"/>
          <w:tab w:val="left" w:pos="3770"/>
          <w:tab w:val="left" w:pos="4612"/>
          <w:tab w:val="left" w:pos="4823"/>
          <w:tab w:val="left" w:pos="5830"/>
          <w:tab w:val="left" w:pos="6440"/>
          <w:tab w:val="left" w:pos="7710"/>
        </w:tabs>
        <w:spacing w:line="360" w:lineRule="auto"/>
        <w:ind w:right="-29" w:rightChars="-13" w:firstLine="439" w:firstLineChars="183"/>
        <w:rPr>
          <w:rFonts w:ascii="宋体" w:hAnsi="宋体" w:eastAsia="宋体" w:cs="宋体"/>
          <w:szCs w:val="24"/>
          <w:lang w:eastAsia="zh-CN"/>
        </w:rPr>
      </w:pPr>
      <w:r>
        <w:rPr>
          <w:rFonts w:hint="eastAsia" w:ascii="宋体" w:hAnsi="宋体" w:eastAsia="宋体" w:cs="宋体"/>
          <w:szCs w:val="24"/>
          <w:lang w:eastAsia="zh-CN"/>
        </w:rPr>
        <w:t>3.2 本次招标不接受联合体投标。</w:t>
      </w:r>
    </w:p>
    <w:p>
      <w:pPr>
        <w:pStyle w:val="12"/>
        <w:tabs>
          <w:tab w:val="left" w:pos="2560"/>
          <w:tab w:val="left" w:pos="2635"/>
          <w:tab w:val="left" w:pos="2702"/>
          <w:tab w:val="left" w:pos="3770"/>
          <w:tab w:val="left" w:pos="4612"/>
          <w:tab w:val="left" w:pos="4823"/>
          <w:tab w:val="left" w:pos="5830"/>
          <w:tab w:val="left" w:pos="6440"/>
          <w:tab w:val="left" w:pos="7710"/>
        </w:tabs>
        <w:spacing w:line="360" w:lineRule="auto"/>
        <w:ind w:right="-29" w:rightChars="-13" w:firstLine="439" w:firstLineChars="183"/>
        <w:rPr>
          <w:rFonts w:ascii="宋体" w:hAnsi="宋体" w:eastAsia="宋体" w:cs="宋体"/>
          <w:szCs w:val="24"/>
          <w:lang w:eastAsia="zh-CN"/>
        </w:rPr>
      </w:pPr>
      <w:r>
        <w:rPr>
          <w:rFonts w:hint="eastAsia" w:ascii="宋体" w:hAnsi="宋体" w:eastAsia="宋体" w:cs="宋体"/>
          <w:szCs w:val="24"/>
          <w:lang w:eastAsia="zh-CN"/>
        </w:rPr>
        <w:t>3.3 与招标人存在利害关系可能影响招标公正性的单位，不得参加投标。单位负责人为同一人或存在控股、管理关系的不同单位，不得参加同一标段投标，否则，相关投标均无效。</w:t>
      </w:r>
    </w:p>
    <w:p>
      <w:pPr>
        <w:spacing w:before="183" w:line="360" w:lineRule="auto"/>
        <w:ind w:right="194"/>
        <w:rPr>
          <w:rFonts w:ascii="宋体" w:hAnsi="宋体" w:eastAsia="宋体" w:cs="宋体"/>
          <w:b/>
          <w:spacing w:val="-18"/>
          <w:sz w:val="24"/>
          <w:szCs w:val="24"/>
          <w:lang w:eastAsia="zh-CN"/>
        </w:rPr>
      </w:pPr>
      <w:r>
        <w:rPr>
          <w:rFonts w:hint="eastAsia" w:ascii="宋体" w:hAnsi="宋体" w:eastAsia="宋体" w:cs="宋体"/>
          <w:b/>
          <w:spacing w:val="-18"/>
          <w:sz w:val="24"/>
          <w:szCs w:val="24"/>
          <w:lang w:eastAsia="zh-CN"/>
        </w:rPr>
        <w:t>4. 招标文件的获取</w:t>
      </w:r>
    </w:p>
    <w:p>
      <w:pPr>
        <w:pStyle w:val="12"/>
        <w:tabs>
          <w:tab w:val="left" w:pos="2649"/>
        </w:tabs>
        <w:spacing w:line="360" w:lineRule="auto"/>
        <w:ind w:right="-29" w:rightChars="-13" w:firstLine="439" w:firstLineChars="183"/>
        <w:jc w:val="both"/>
        <w:rPr>
          <w:rFonts w:ascii="宋体" w:hAnsi="宋体" w:eastAsia="宋体" w:cs="宋体"/>
          <w:szCs w:val="24"/>
          <w:lang w:eastAsia="zh-CN"/>
        </w:rPr>
      </w:pPr>
      <w:r>
        <w:rPr>
          <w:rFonts w:hint="eastAsia" w:ascii="宋体" w:hAnsi="宋体" w:eastAsia="宋体" w:cs="宋体"/>
          <w:szCs w:val="24"/>
          <w:lang w:eastAsia="zh-CN"/>
        </w:rPr>
        <w:t xml:space="preserve">4.1 </w:t>
      </w:r>
      <w:r>
        <w:rPr>
          <w:rFonts w:hint="eastAsia" w:ascii="宋体" w:hAnsi="宋体" w:eastAsia="宋体" w:cs="宋体"/>
        </w:rPr>
        <w:t>凡有意参加投标者，请于2023年09月</w:t>
      </w:r>
      <w:r>
        <w:rPr>
          <w:rFonts w:hint="eastAsia" w:ascii="宋体" w:hAnsi="宋体" w:eastAsia="宋体" w:cs="宋体"/>
          <w:lang w:val="en-US" w:eastAsia="zh-CN"/>
        </w:rPr>
        <w:t>11</w:t>
      </w:r>
      <w:r>
        <w:rPr>
          <w:rFonts w:hint="eastAsia" w:ascii="宋体" w:hAnsi="宋体" w:eastAsia="宋体" w:cs="宋体"/>
        </w:rPr>
        <w:t>日00时00分至2023年09月</w:t>
      </w:r>
      <w:r>
        <w:rPr>
          <w:rFonts w:hint="eastAsia" w:ascii="宋体" w:hAnsi="宋体" w:eastAsia="宋体" w:cs="宋体"/>
          <w:lang w:val="en-US" w:eastAsia="zh-CN"/>
        </w:rPr>
        <w:t>16</w:t>
      </w:r>
      <w:r>
        <w:rPr>
          <w:rFonts w:hint="eastAsia" w:ascii="宋体" w:hAnsi="宋体" w:eastAsia="宋体" w:cs="宋体"/>
        </w:rPr>
        <w:t>日</w:t>
      </w:r>
      <w:r>
        <w:rPr>
          <w:rFonts w:hint="eastAsia" w:ascii="宋体" w:hAnsi="宋体" w:eastAsia="宋体" w:cs="宋体"/>
          <w:lang w:eastAsia="zh-CN"/>
        </w:rPr>
        <w:t>00</w:t>
      </w:r>
      <w:r>
        <w:rPr>
          <w:rFonts w:hint="eastAsia" w:ascii="宋体" w:hAnsi="宋体" w:eastAsia="宋体" w:cs="宋体"/>
        </w:rPr>
        <w:t>时</w:t>
      </w:r>
      <w:r>
        <w:rPr>
          <w:rFonts w:hint="eastAsia" w:ascii="宋体" w:hAnsi="宋体" w:eastAsia="宋体" w:cs="宋体"/>
          <w:lang w:eastAsia="zh-CN"/>
        </w:rPr>
        <w:t>00</w:t>
      </w:r>
      <w:r>
        <w:rPr>
          <w:rFonts w:hint="eastAsia" w:ascii="宋体" w:hAnsi="宋体" w:eastAsia="宋体" w:cs="宋体"/>
        </w:rPr>
        <w:t>分，使用CA数字证书在陕西省公共资源交易平台进行网上投标确认；</w:t>
      </w:r>
      <w:r>
        <w:rPr>
          <w:rFonts w:hint="eastAsia" w:ascii="宋体" w:hAnsi="宋体" w:eastAsia="宋体" w:cs="宋体"/>
          <w:lang w:eastAsia="zh-CN"/>
        </w:rPr>
        <w:t>同时</w:t>
      </w:r>
      <w:r>
        <w:rPr>
          <w:rFonts w:hint="eastAsia" w:ascii="宋体" w:hAnsi="宋体" w:eastAsia="宋体" w:cs="宋体"/>
        </w:rPr>
        <w:t>在陕西正大项目管理咨询有限公司（宝鸡市宝虢路80号鹏博财富中心6号楼1302号）持网</w:t>
      </w:r>
      <w:r>
        <w:rPr>
          <w:rFonts w:hint="eastAsia" w:ascii="宋体" w:hAnsi="宋体" w:eastAsia="宋体" w:cs="宋体"/>
          <w:lang w:eastAsia="zh-CN"/>
        </w:rPr>
        <w:t>上投标确认单、介绍信、经办人身份证原件及加盖单位公章的经办人身份证复印件或扫描件进行线下缴费确认（工作时间：每日9:00-17:00）。</w:t>
      </w:r>
    </w:p>
    <w:p>
      <w:pPr>
        <w:spacing w:line="360" w:lineRule="auto"/>
        <w:ind w:right="-29" w:rightChars="-13"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4.2 招标文件每个标段每套售价500元，售后不退。</w:t>
      </w:r>
    </w:p>
    <w:p>
      <w:pPr>
        <w:spacing w:before="183" w:line="360" w:lineRule="auto"/>
        <w:ind w:right="194"/>
        <w:rPr>
          <w:rFonts w:ascii="宋体" w:hAnsi="宋体" w:eastAsia="宋体" w:cs="宋体"/>
          <w:b/>
          <w:spacing w:val="-18"/>
          <w:sz w:val="24"/>
          <w:szCs w:val="24"/>
          <w:lang w:eastAsia="zh-CN"/>
        </w:rPr>
      </w:pPr>
      <w:r>
        <w:rPr>
          <w:rFonts w:hint="eastAsia" w:ascii="宋体" w:hAnsi="宋体" w:eastAsia="宋体" w:cs="宋体"/>
          <w:b/>
          <w:spacing w:val="-18"/>
          <w:sz w:val="24"/>
          <w:szCs w:val="24"/>
          <w:lang w:eastAsia="zh-CN"/>
        </w:rPr>
        <w:t>5. 投标文件的递交及相关事宣</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5.1 招标人不组织工程现场踏勘，不召开投标预备会。</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5.2 投标文件递交的截止时间(投标截止时间，下同)为2023年10月09日09时00分，投标人应于当日2023年10月09日09时00分前将投标文件递交至陕西省公共资源交易中心426开标室。</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5.3 逾期送达的、未送达指定地点的或不按照招标文件要求密封的投标文件，招标人将予以拒收。</w:t>
      </w:r>
    </w:p>
    <w:p>
      <w:pPr>
        <w:spacing w:before="183" w:line="360" w:lineRule="auto"/>
        <w:ind w:right="194"/>
        <w:rPr>
          <w:rFonts w:ascii="宋体" w:hAnsi="宋体" w:eastAsia="宋体" w:cs="宋体"/>
          <w:b/>
          <w:sz w:val="24"/>
          <w:szCs w:val="24"/>
          <w:lang w:eastAsia="zh-CN"/>
        </w:rPr>
      </w:pPr>
      <w:r>
        <w:rPr>
          <w:rFonts w:hint="eastAsia" w:ascii="宋体" w:hAnsi="宋体" w:eastAsia="宋体" w:cs="宋体"/>
          <w:b/>
          <w:spacing w:val="-18"/>
          <w:sz w:val="24"/>
          <w:szCs w:val="24"/>
          <w:lang w:eastAsia="zh-CN"/>
        </w:rPr>
        <w:t xml:space="preserve">6. </w:t>
      </w:r>
      <w:r>
        <w:rPr>
          <w:rFonts w:hint="eastAsia" w:ascii="宋体" w:hAnsi="宋体" w:eastAsia="宋体" w:cs="宋体"/>
          <w:b/>
          <w:sz w:val="24"/>
          <w:szCs w:val="24"/>
          <w:lang w:eastAsia="zh-CN"/>
        </w:rPr>
        <w:t>其他</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 xml:space="preserve">6.1 根据《关于加快推进全省水利和交通建设项目全流程电子化交易的通知》（陕发改法规〔2021〕113 号）文件，本次招标采用电子招标投标。 </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 xml:space="preserve">6.2 投标人需在陕西省公共资源交易中心进行诚信入库及办理 CA 数字证书业务，为避免影响正常业务的开展，请各投标人尽快办理（具体办理流程见《陕西省数字证书认证中心》网站）。 </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 xml:space="preserve">6.3 在购买纸质招标文件之前，投标人需在陕西省公共资源交易平台进行网上投标确认并打印网上投标确认单。购买纸质文件并确认线下缴费后，投标人可在陕西省公共资源交易平台查看、下载电子版招标文件及补遗书等其他相关文件。 </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6.4 投标人应使用陕西省公共资源交易平台编标工具制作投标文件，在投标截止时间前使用 CA 数字证书登陆陕西省公共资源交易平台，上传加密的电子投标文件，并在开标时对上传的投标文件进行解密。</w:t>
      </w:r>
    </w:p>
    <w:p>
      <w:pPr>
        <w:numPr>
          <w:ilvl w:val="0"/>
          <w:numId w:val="2"/>
        </w:numPr>
        <w:spacing w:before="183" w:line="360" w:lineRule="auto"/>
        <w:ind w:right="194"/>
        <w:rPr>
          <w:rFonts w:ascii="宋体" w:hAnsi="宋体" w:eastAsia="宋体" w:cs="宋体"/>
          <w:b/>
          <w:spacing w:val="-18"/>
          <w:sz w:val="24"/>
          <w:szCs w:val="24"/>
          <w:lang w:eastAsia="zh-CN"/>
        </w:rPr>
      </w:pPr>
      <w:r>
        <w:rPr>
          <w:rFonts w:hint="eastAsia" w:ascii="宋体" w:hAnsi="宋体" w:eastAsia="宋体" w:cs="宋体"/>
          <w:b/>
          <w:spacing w:val="-18"/>
          <w:sz w:val="24"/>
          <w:szCs w:val="24"/>
          <w:lang w:eastAsia="zh-CN"/>
        </w:rPr>
        <w:t>发布公告的媒介</w:t>
      </w:r>
    </w:p>
    <w:p>
      <w:pPr>
        <w:spacing w:line="360" w:lineRule="auto"/>
        <w:ind w:firstLine="439" w:firstLineChars="183"/>
        <w:rPr>
          <w:rFonts w:ascii="宋体" w:hAnsi="宋体" w:eastAsia="宋体" w:cs="宋体"/>
          <w:sz w:val="24"/>
          <w:szCs w:val="24"/>
          <w:lang w:eastAsia="zh-CN"/>
        </w:rPr>
      </w:pPr>
      <w:r>
        <w:rPr>
          <w:rFonts w:hint="eastAsia" w:ascii="宋体" w:hAnsi="宋体" w:eastAsia="宋体" w:cs="宋体"/>
          <w:sz w:val="24"/>
          <w:szCs w:val="24"/>
          <w:lang w:eastAsia="zh-CN"/>
        </w:rPr>
        <w:t>本次招标公告同时在全国公共资源交易平台(陕西省)公共资源交易中心官方网站(www.sxggzyjy.cn)、陕西采购与招标网（陕西采购与招标公共服务平台http://www.sntba.com)、陕西省交通运输厅网站（http://jtyst.shaanxi.gov.cn/）发布。</w:t>
      </w:r>
    </w:p>
    <w:p>
      <w:pPr>
        <w:spacing w:before="183" w:line="360" w:lineRule="auto"/>
        <w:ind w:right="194"/>
        <w:rPr>
          <w:rFonts w:ascii="宋体" w:hAnsi="宋体" w:eastAsia="宋体" w:cs="宋体"/>
          <w:b/>
          <w:spacing w:val="-18"/>
          <w:sz w:val="26"/>
          <w:szCs w:val="26"/>
          <w:lang w:eastAsia="zh-CN"/>
        </w:rPr>
      </w:pPr>
      <w:r>
        <w:rPr>
          <w:rFonts w:hint="eastAsia" w:ascii="宋体" w:hAnsi="宋体" w:eastAsia="宋体" w:cs="宋体"/>
          <w:b/>
          <w:spacing w:val="-18"/>
          <w:sz w:val="26"/>
          <w:szCs w:val="26"/>
          <w:lang w:eastAsia="zh-CN"/>
        </w:rPr>
        <w:t>8. 联系方式</w:t>
      </w:r>
    </w:p>
    <w:p>
      <w:pPr>
        <w:adjustRightInd w:val="0"/>
        <w:snapToGrid w:val="0"/>
        <w:spacing w:line="360" w:lineRule="auto"/>
        <w:ind w:firstLine="480" w:firstLineChars="200"/>
        <w:contextualSpacing/>
        <w:rPr>
          <w:rFonts w:ascii="宋体" w:hAnsi="宋体" w:eastAsia="宋体" w:cs="宋体"/>
          <w:sz w:val="24"/>
          <w:lang w:eastAsia="zh-CN"/>
        </w:rPr>
      </w:pPr>
      <w:r>
        <w:rPr>
          <w:rFonts w:hint="eastAsia" w:ascii="宋体" w:hAnsi="宋体" w:eastAsia="宋体" w:cs="宋体"/>
          <w:sz w:val="24"/>
          <w:lang w:eastAsia="zh-CN"/>
        </w:rPr>
        <w:t>招标人：中铁建陕西眉太高速公路有限公司</w:t>
      </w:r>
    </w:p>
    <w:p>
      <w:pPr>
        <w:adjustRightInd w:val="0"/>
        <w:snapToGrid w:val="0"/>
        <w:spacing w:line="360" w:lineRule="auto"/>
        <w:ind w:firstLine="480" w:firstLineChars="200"/>
        <w:contextualSpacing/>
        <w:rPr>
          <w:rFonts w:ascii="宋体" w:hAnsi="宋体" w:eastAsia="宋体" w:cs="宋体"/>
          <w:sz w:val="24"/>
          <w:lang w:eastAsia="zh-CN"/>
        </w:rPr>
      </w:pPr>
      <w:r>
        <w:rPr>
          <w:rFonts w:hint="eastAsia" w:ascii="宋体" w:hAnsi="宋体" w:eastAsia="宋体" w:cs="宋体"/>
          <w:sz w:val="24"/>
          <w:lang w:eastAsia="zh-CN"/>
        </w:rPr>
        <w:t>地址：宝鸡市宝虢路80号鹏博财富中心</w:t>
      </w:r>
      <w:r>
        <w:rPr>
          <w:rFonts w:hint="eastAsia" w:ascii="宋体" w:hAnsi="宋体" w:eastAsia="宋体" w:cs="宋体"/>
          <w:spacing w:val="52"/>
          <w:sz w:val="24"/>
          <w:lang w:eastAsia="zh-CN"/>
        </w:rPr>
        <w:t>2</w:t>
      </w:r>
      <w:r>
        <w:rPr>
          <w:rFonts w:hint="eastAsia" w:ascii="宋体" w:hAnsi="宋体" w:eastAsia="宋体" w:cs="宋体"/>
          <w:sz w:val="24"/>
          <w:lang w:eastAsia="zh-CN"/>
        </w:rPr>
        <w:t>号楼</w:t>
      </w:r>
      <w:r>
        <w:rPr>
          <w:rFonts w:hint="eastAsia" w:ascii="宋体" w:hAnsi="宋体" w:eastAsia="宋体" w:cs="宋体"/>
          <w:spacing w:val="52"/>
          <w:sz w:val="24"/>
          <w:lang w:eastAsia="zh-CN"/>
        </w:rPr>
        <w:t>B</w:t>
      </w:r>
      <w:r>
        <w:rPr>
          <w:rFonts w:hint="eastAsia" w:ascii="宋体" w:hAnsi="宋体" w:eastAsia="宋体" w:cs="宋体"/>
          <w:sz w:val="24"/>
          <w:lang w:eastAsia="zh-CN"/>
        </w:rPr>
        <w:t>座11层</w:t>
      </w:r>
    </w:p>
    <w:p>
      <w:pPr>
        <w:adjustRightInd w:val="0"/>
        <w:snapToGrid w:val="0"/>
        <w:spacing w:line="360" w:lineRule="auto"/>
        <w:ind w:firstLine="480" w:firstLineChars="200"/>
        <w:contextualSpacing/>
        <w:rPr>
          <w:rFonts w:ascii="宋体" w:hAnsi="宋体" w:eastAsia="宋体" w:cs="宋体"/>
          <w:sz w:val="24"/>
          <w:lang w:eastAsia="zh-CN"/>
        </w:rPr>
      </w:pPr>
      <w:r>
        <w:rPr>
          <w:rFonts w:hint="eastAsia" w:ascii="宋体" w:hAnsi="宋体" w:eastAsia="宋体" w:cs="宋体"/>
          <w:sz w:val="24"/>
          <w:lang w:eastAsia="zh-CN"/>
        </w:rPr>
        <w:t>邮政编码：721000</w:t>
      </w:r>
    </w:p>
    <w:p>
      <w:pPr>
        <w:adjustRightInd w:val="0"/>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联系人：贾先生</w:t>
      </w:r>
    </w:p>
    <w:p>
      <w:pPr>
        <w:adjustRightInd w:val="0"/>
        <w:snapToGrid w:val="0"/>
        <w:spacing w:line="360" w:lineRule="auto"/>
        <w:ind w:firstLine="480" w:firstLineChars="200"/>
        <w:contextualSpacing/>
        <w:rPr>
          <w:rFonts w:ascii="宋体" w:hAnsi="宋体" w:eastAsia="宋体" w:cs="宋体"/>
          <w:sz w:val="24"/>
          <w:lang w:eastAsia="zh-CN"/>
        </w:rPr>
      </w:pPr>
      <w:r>
        <w:rPr>
          <w:rFonts w:hint="eastAsia" w:ascii="宋体" w:hAnsi="宋体" w:eastAsia="宋体" w:cs="宋体"/>
          <w:sz w:val="24"/>
        </w:rPr>
        <w:t>电话：13649201227</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电子邮件：/</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招标代理机构：陕西正大项目管理咨询有限公司</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地    址：宝鸡市宝虢路80号鹏博财富中心6号楼1302号</w:t>
      </w:r>
    </w:p>
    <w:p>
      <w:pPr>
        <w:autoSpaceDE w:val="0"/>
        <w:autoSpaceDN w:val="0"/>
        <w:spacing w:before="26" w:line="360" w:lineRule="auto"/>
        <w:ind w:right="1487" w:firstLine="439" w:firstLineChars="183"/>
        <w:rPr>
          <w:rFonts w:ascii="宋体" w:hAnsi="宋体" w:eastAsia="宋体" w:cs="宋体"/>
          <w:kern w:val="1"/>
          <w:sz w:val="24"/>
          <w:lang w:eastAsia="zh-CN"/>
        </w:rPr>
      </w:pPr>
      <w:r>
        <w:rPr>
          <w:rFonts w:hint="eastAsia" w:ascii="宋体" w:hAnsi="宋体" w:eastAsia="宋体" w:cs="宋体"/>
          <w:kern w:val="1"/>
          <w:sz w:val="24"/>
          <w:lang w:eastAsia="zh-CN"/>
        </w:rPr>
        <w:t>邮政编码：</w:t>
      </w:r>
      <w:r>
        <w:rPr>
          <w:rFonts w:hint="eastAsia" w:ascii="宋体" w:hAnsi="宋体" w:eastAsia="宋体" w:cs="宋体"/>
          <w:sz w:val="24"/>
          <w:lang w:eastAsia="zh-CN"/>
        </w:rPr>
        <w:t>710004</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联 系 人：</w:t>
      </w:r>
      <w:r>
        <w:rPr>
          <w:rFonts w:hint="eastAsia" w:ascii="宋体" w:hAnsi="宋体" w:eastAsia="宋体" w:cs="宋体"/>
          <w:sz w:val="24"/>
          <w:szCs w:val="24"/>
        </w:rPr>
        <w:t>罗玲娟  段萍莉</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电    话：0917-3366779   18991761158</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电子邮件：mtgs2023@126.com</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开户银行：中国建设银行股份有限公司西安旺座现代城支行</w:t>
      </w:r>
    </w:p>
    <w:p>
      <w:pPr>
        <w:autoSpaceDE w:val="0"/>
        <w:autoSpaceDN w:val="0"/>
        <w:spacing w:before="26" w:line="360" w:lineRule="auto"/>
        <w:ind w:right="1487" w:firstLine="439" w:firstLineChars="183"/>
        <w:rPr>
          <w:rFonts w:ascii="宋体" w:hAnsi="宋体" w:eastAsia="宋体" w:cs="宋体"/>
          <w:sz w:val="24"/>
          <w:lang w:eastAsia="zh-CN"/>
        </w:rPr>
      </w:pPr>
      <w:r>
        <w:rPr>
          <w:rFonts w:hint="eastAsia" w:ascii="宋体" w:hAnsi="宋体" w:eastAsia="宋体" w:cs="宋体"/>
          <w:sz w:val="24"/>
          <w:lang w:eastAsia="zh-CN"/>
        </w:rPr>
        <w:t>账    号：61001928700052514036</w:t>
      </w:r>
    </w:p>
    <w:p>
      <w:pPr>
        <w:pStyle w:val="29"/>
        <w:rPr>
          <w:rFonts w:hint="eastAsia" w:ascii="宋体" w:hAnsi="宋体" w:eastAsia="宋体" w:cs="宋体"/>
          <w:lang w:eastAsia="zh-CN"/>
        </w:rPr>
      </w:pPr>
    </w:p>
    <w:p>
      <w:pPr>
        <w:widowControl/>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br w:type="page"/>
      </w:r>
    </w:p>
    <w:p>
      <w:pPr>
        <w:tabs>
          <w:tab w:val="left" w:pos="3029"/>
        </w:tabs>
        <w:spacing w:line="540" w:lineRule="exact"/>
        <w:ind w:right="275"/>
        <w:jc w:val="center"/>
        <w:outlineLvl w:val="0"/>
        <w:rPr>
          <w:rFonts w:hint="eastAsia" w:ascii="宋体" w:hAnsi="宋体" w:eastAsia="宋体" w:cs="宋体"/>
          <w:b/>
          <w:color w:val="000000" w:themeColor="text1"/>
          <w:sz w:val="32"/>
          <w:szCs w:val="32"/>
          <w:lang w:eastAsia="zh-CN"/>
          <w14:textFill>
            <w14:solidFill>
              <w14:schemeClr w14:val="tx1"/>
            </w14:solidFill>
          </w14:textFill>
        </w:rPr>
      </w:pPr>
      <w:bookmarkStart w:id="0" w:name="_Toc26534"/>
      <w:r>
        <w:rPr>
          <w:rFonts w:hint="eastAsia" w:ascii="宋体" w:hAnsi="宋体" w:eastAsia="宋体" w:cs="宋体"/>
          <w:b/>
          <w:color w:val="000000" w:themeColor="text1"/>
          <w:spacing w:val="-12"/>
          <w:w w:val="102"/>
          <w:sz w:val="32"/>
          <w:szCs w:val="32"/>
          <w:lang w:eastAsia="zh-CN"/>
          <w14:textFill>
            <w14:solidFill>
              <w14:schemeClr w14:val="tx1"/>
            </w14:solidFill>
          </w14:textFill>
        </w:rPr>
        <w:t>评</w:t>
      </w:r>
      <w:r>
        <w:rPr>
          <w:rFonts w:hint="eastAsia" w:ascii="宋体" w:hAnsi="宋体" w:eastAsia="宋体" w:cs="宋体"/>
          <w:b/>
          <w:color w:val="000000" w:themeColor="text1"/>
          <w:w w:val="102"/>
          <w:sz w:val="32"/>
          <w:szCs w:val="32"/>
          <w:lang w:eastAsia="zh-CN"/>
          <w14:textFill>
            <w14:solidFill>
              <w14:schemeClr w14:val="tx1"/>
            </w14:solidFill>
          </w14:textFill>
        </w:rPr>
        <w:t>标</w:t>
      </w:r>
      <w:r>
        <w:rPr>
          <w:rFonts w:hint="eastAsia" w:ascii="宋体" w:hAnsi="宋体" w:eastAsia="宋体" w:cs="宋体"/>
          <w:b/>
          <w:color w:val="000000" w:themeColor="text1"/>
          <w:spacing w:val="-5"/>
          <w:w w:val="102"/>
          <w:sz w:val="32"/>
          <w:szCs w:val="32"/>
          <w:lang w:eastAsia="zh-CN"/>
          <w14:textFill>
            <w14:solidFill>
              <w14:schemeClr w14:val="tx1"/>
            </w14:solidFill>
          </w14:textFill>
        </w:rPr>
        <w:t>办</w:t>
      </w:r>
      <w:r>
        <w:rPr>
          <w:rFonts w:hint="eastAsia" w:ascii="宋体" w:hAnsi="宋体" w:eastAsia="宋体" w:cs="宋体"/>
          <w:b/>
          <w:color w:val="000000" w:themeColor="text1"/>
          <w:w w:val="97"/>
          <w:sz w:val="32"/>
          <w:szCs w:val="32"/>
          <w:lang w:eastAsia="zh-CN"/>
          <w14:textFill>
            <w14:solidFill>
              <w14:schemeClr w14:val="tx1"/>
            </w14:solidFill>
          </w14:textFill>
        </w:rPr>
        <w:t>法</w:t>
      </w:r>
      <w:r>
        <w:rPr>
          <w:rFonts w:hint="eastAsia" w:ascii="宋体" w:hAnsi="宋体" w:eastAsia="宋体" w:cs="宋体"/>
          <w:b/>
          <w:color w:val="000000" w:themeColor="text1"/>
          <w:spacing w:val="29"/>
          <w:w w:val="37"/>
          <w:sz w:val="32"/>
          <w:szCs w:val="32"/>
          <w:lang w:eastAsia="zh-CN"/>
          <w14:textFill>
            <w14:solidFill>
              <w14:schemeClr w14:val="tx1"/>
            </w14:solidFill>
          </w14:textFill>
        </w:rPr>
        <w:t>（</w:t>
      </w:r>
      <w:r>
        <w:rPr>
          <w:rFonts w:hint="eastAsia" w:ascii="宋体" w:hAnsi="宋体" w:eastAsia="宋体" w:cs="宋体"/>
          <w:b/>
          <w:color w:val="000000" w:themeColor="text1"/>
          <w:w w:val="90"/>
          <w:sz w:val="32"/>
          <w:szCs w:val="32"/>
          <w:lang w:eastAsia="zh-CN"/>
          <w14:textFill>
            <w14:solidFill>
              <w14:schemeClr w14:val="tx1"/>
            </w14:solidFill>
          </w14:textFill>
        </w:rPr>
        <w:t>综合评估法</w:t>
      </w:r>
      <w:bookmarkEnd w:id="0"/>
      <w:r>
        <w:rPr>
          <w:rFonts w:hint="eastAsia" w:ascii="宋体" w:hAnsi="宋体" w:eastAsia="宋体" w:cs="宋体"/>
          <w:b/>
          <w:color w:val="000000" w:themeColor="text1"/>
          <w:w w:val="90"/>
          <w:sz w:val="32"/>
          <w:szCs w:val="32"/>
          <w:lang w:eastAsia="zh-CN"/>
          <w14:textFill>
            <w14:solidFill>
              <w14:schemeClr w14:val="tx1"/>
            </w14:solidFill>
          </w14:textFill>
        </w:rPr>
        <w:t>）</w:t>
      </w:r>
    </w:p>
    <w:p>
      <w:pPr>
        <w:ind w:left="142"/>
        <w:rPr>
          <w:rFonts w:ascii="宋体" w:hAnsi="宋体" w:eastAsia="宋体" w:cs="宋体"/>
          <w:color w:val="000000" w:themeColor="text1"/>
          <w:sz w:val="13"/>
          <w:szCs w:val="14"/>
          <w:highlight w:val="none"/>
          <w:lang w:eastAsia="zh-CN"/>
          <w14:textFill>
            <w14:solidFill>
              <w14:schemeClr w14:val="tx1"/>
            </w14:solidFill>
          </w14:textFill>
        </w:rPr>
      </w:pPr>
      <w:r>
        <w:rPr>
          <w:rFonts w:hint="eastAsia" w:ascii="宋体" w:hAnsi="宋体" w:eastAsia="宋体" w:cs="宋体"/>
          <w:b/>
          <w:bCs/>
          <w:color w:val="000000" w:themeColor="text1"/>
          <w:sz w:val="24"/>
          <w:szCs w:val="28"/>
          <w:highlight w:val="none"/>
          <w14:textFill>
            <w14:solidFill>
              <w14:schemeClr w14:val="tx1"/>
            </w14:solidFill>
          </w14:textFill>
        </w:rPr>
        <w:t>评标办法前附表</w:t>
      </w:r>
    </w:p>
    <w:tbl>
      <w:tblPr>
        <w:tblStyle w:val="33"/>
        <w:tblW w:w="98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2"/>
        <w:gridCol w:w="1440"/>
        <w:gridCol w:w="7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172" w:type="dxa"/>
            <w:gridSpan w:val="2"/>
            <w:tcBorders>
              <w:tl2br w:val="nil"/>
              <w:tr2bl w:val="nil"/>
            </w:tcBorders>
          </w:tcPr>
          <w:p>
            <w:pPr>
              <w:pStyle w:val="32"/>
              <w:adjustRightInd w:val="0"/>
              <w:snapToGrid w:val="0"/>
              <w:spacing w:line="380" w:lineRule="exact"/>
              <w:jc w:val="center"/>
              <w:rPr>
                <w:rFonts w:ascii="宋体" w:hAnsi="宋体" w:eastAsia="宋体" w:cs="宋体"/>
                <w:sz w:val="21"/>
                <w:szCs w:val="21"/>
                <w:highlight w:val="none"/>
              </w:rPr>
            </w:pPr>
            <w:r>
              <w:rPr>
                <w:rFonts w:hint="eastAsia" w:ascii="宋体" w:hAnsi="宋体" w:eastAsia="宋体" w:cs="宋体"/>
                <w:b/>
                <w:bCs/>
                <w:sz w:val="21"/>
                <w:szCs w:val="21"/>
                <w:highlight w:val="none"/>
              </w:rPr>
              <w:t>条款号</w:t>
            </w:r>
          </w:p>
        </w:tc>
        <w:tc>
          <w:tcPr>
            <w:tcW w:w="7663" w:type="dxa"/>
            <w:tcBorders>
              <w:tl2br w:val="nil"/>
              <w:tr2bl w:val="nil"/>
            </w:tcBorders>
          </w:tcPr>
          <w:p>
            <w:pPr>
              <w:pStyle w:val="32"/>
              <w:adjustRightInd w:val="0"/>
              <w:snapToGrid w:val="0"/>
              <w:spacing w:line="380" w:lineRule="exact"/>
              <w:ind w:left="218" w:leftChars="99" w:right="172" w:rightChars="78"/>
              <w:jc w:val="center"/>
              <w:rPr>
                <w:rFonts w:ascii="宋体" w:hAnsi="宋体" w:eastAsia="宋体" w:cs="宋体"/>
                <w:sz w:val="21"/>
                <w:szCs w:val="21"/>
                <w:highlight w:val="none"/>
              </w:rPr>
            </w:pPr>
            <w:r>
              <w:rPr>
                <w:rFonts w:hint="eastAsia" w:ascii="宋体" w:hAnsi="宋体" w:eastAsia="宋体" w:cs="宋体"/>
                <w:b/>
                <w:bCs/>
                <w:sz w:val="21"/>
                <w:szCs w:val="21"/>
                <w:highlight w:val="none"/>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32" w:type="dxa"/>
            <w:tcBorders>
              <w:tl2br w:val="nil"/>
              <w:tr2bl w:val="nil"/>
            </w:tcBorders>
            <w:vAlign w:val="center"/>
          </w:tcPr>
          <w:p>
            <w:pPr>
              <w:pStyle w:val="32"/>
              <w:adjustRightInd w:val="0"/>
              <w:snapToGrid w:val="0"/>
              <w:spacing w:line="380" w:lineRule="exact"/>
              <w:jc w:val="center"/>
              <w:rPr>
                <w:rFonts w:ascii="宋体" w:hAnsi="宋体" w:eastAsia="宋体" w:cs="宋体"/>
                <w:sz w:val="21"/>
                <w:szCs w:val="21"/>
                <w:highlight w:val="none"/>
              </w:rPr>
            </w:pPr>
            <w:r>
              <w:rPr>
                <w:rFonts w:hint="eastAsia" w:ascii="宋体" w:hAnsi="宋体" w:eastAsia="宋体" w:cs="宋体"/>
                <w:sz w:val="21"/>
                <w:szCs w:val="21"/>
                <w:highlight w:val="none"/>
              </w:rPr>
              <w:t>1</w:t>
            </w:r>
          </w:p>
        </w:tc>
        <w:tc>
          <w:tcPr>
            <w:tcW w:w="1440" w:type="dxa"/>
            <w:tcBorders>
              <w:tl2br w:val="nil"/>
              <w:tr2bl w:val="nil"/>
            </w:tcBorders>
            <w:vAlign w:val="center"/>
          </w:tcPr>
          <w:p>
            <w:pPr>
              <w:pStyle w:val="32"/>
              <w:adjustRightInd w:val="0"/>
              <w:snapToGrid w:val="0"/>
              <w:spacing w:line="380" w:lineRule="exact"/>
              <w:ind w:left="206"/>
              <w:jc w:val="center"/>
              <w:rPr>
                <w:rFonts w:ascii="宋体" w:hAnsi="宋体" w:eastAsia="宋体" w:cs="宋体"/>
                <w:sz w:val="21"/>
                <w:szCs w:val="21"/>
                <w:highlight w:val="none"/>
              </w:rPr>
            </w:pPr>
            <w:r>
              <w:rPr>
                <w:rFonts w:hint="eastAsia" w:ascii="宋体" w:hAnsi="宋体" w:eastAsia="宋体" w:cs="宋体"/>
                <w:sz w:val="21"/>
                <w:szCs w:val="21"/>
                <w:highlight w:val="none"/>
              </w:rPr>
              <w:t>评标方法</w:t>
            </w:r>
          </w:p>
        </w:tc>
        <w:tc>
          <w:tcPr>
            <w:tcW w:w="7663" w:type="dxa"/>
            <w:tcBorders>
              <w:tl2br w:val="nil"/>
              <w:tr2bl w:val="nil"/>
            </w:tcBorders>
            <w:vAlign w:val="center"/>
          </w:tcPr>
          <w:p>
            <w:pPr>
              <w:pStyle w:val="32"/>
              <w:adjustRightInd w:val="0"/>
              <w:snapToGrid w:val="0"/>
              <w:spacing w:line="380" w:lineRule="exact"/>
              <w:ind w:left="218" w:leftChars="99" w:right="172" w:rightChars="78"/>
              <w:jc w:val="both"/>
              <w:rPr>
                <w:rFonts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采用资格后审，双信封综合评估法。</w:t>
            </w:r>
          </w:p>
          <w:p>
            <w:pPr>
              <w:pStyle w:val="32"/>
              <w:adjustRightInd w:val="0"/>
              <w:snapToGrid w:val="0"/>
              <w:spacing w:line="380" w:lineRule="exact"/>
              <w:ind w:left="218" w:leftChars="99" w:right="172" w:rightChars="78"/>
              <w:jc w:val="both"/>
              <w:rPr>
                <w:rFonts w:ascii="宋体" w:hAnsi="宋体" w:eastAsia="宋体" w:cs="宋体"/>
                <w:spacing w:val="-3"/>
                <w:sz w:val="21"/>
                <w:szCs w:val="21"/>
                <w:highlight w:val="none"/>
                <w:lang w:eastAsia="zh-CN"/>
              </w:rPr>
            </w:pPr>
            <w:r>
              <w:rPr>
                <w:rFonts w:hint="eastAsia" w:ascii="宋体" w:hAnsi="宋体" w:eastAsia="宋体" w:cs="宋体"/>
                <w:spacing w:val="-3"/>
                <w:sz w:val="21"/>
                <w:szCs w:val="21"/>
                <w:highlight w:val="none"/>
                <w:lang w:eastAsia="zh-CN"/>
              </w:rPr>
              <w:t>评标委员会按照得分由高到低的顺序推荐中标候选人，并标明排序。综合分数相等时，评标委员会依次按照以下优先顺序推荐中标候选人或确定中标人：</w:t>
            </w:r>
          </w:p>
          <w:p>
            <w:pPr>
              <w:pStyle w:val="32"/>
              <w:adjustRightInd w:val="0"/>
              <w:snapToGrid w:val="0"/>
              <w:spacing w:line="380" w:lineRule="exact"/>
              <w:ind w:left="218" w:leftChars="99" w:right="172" w:rightChars="78"/>
              <w:jc w:val="both"/>
              <w:rPr>
                <w:rFonts w:ascii="宋体" w:hAnsi="宋体" w:eastAsia="宋体" w:cs="宋体"/>
                <w:spacing w:val="-3"/>
                <w:sz w:val="21"/>
                <w:szCs w:val="21"/>
                <w:highlight w:val="none"/>
                <w:lang w:eastAsia="zh-CN"/>
              </w:rPr>
            </w:pPr>
            <w:r>
              <w:rPr>
                <w:rFonts w:hint="eastAsia" w:ascii="宋体" w:hAnsi="宋体" w:eastAsia="宋体" w:cs="宋体"/>
                <w:spacing w:val="-3"/>
                <w:sz w:val="21"/>
                <w:szCs w:val="21"/>
                <w:highlight w:val="none"/>
                <w:lang w:eastAsia="zh-CN"/>
              </w:rPr>
              <w:t>1.评标价低的投标人优先；</w:t>
            </w:r>
          </w:p>
          <w:p>
            <w:pPr>
              <w:pStyle w:val="32"/>
              <w:adjustRightInd w:val="0"/>
              <w:snapToGrid w:val="0"/>
              <w:spacing w:line="380" w:lineRule="exact"/>
              <w:ind w:left="218" w:leftChars="99" w:right="172" w:rightChars="78"/>
              <w:jc w:val="both"/>
              <w:rPr>
                <w:rFonts w:ascii="宋体" w:hAnsi="宋体" w:eastAsia="宋体" w:cs="宋体"/>
                <w:spacing w:val="-3"/>
                <w:sz w:val="21"/>
                <w:szCs w:val="21"/>
                <w:highlight w:val="none"/>
                <w:lang w:eastAsia="zh-CN"/>
              </w:rPr>
            </w:pPr>
            <w:bookmarkStart w:id="1" w:name="_Hlk3446404"/>
            <w:r>
              <w:rPr>
                <w:rFonts w:hint="eastAsia" w:ascii="宋体" w:hAnsi="宋体" w:eastAsia="宋体" w:cs="宋体"/>
                <w:spacing w:val="-3"/>
                <w:sz w:val="21"/>
                <w:szCs w:val="21"/>
                <w:highlight w:val="none"/>
                <w:lang w:eastAsia="zh-CN"/>
              </w:rPr>
              <w:t>2.被陕西省交通运输厅评为较高信用等级的投标人优先；</w:t>
            </w:r>
            <w:bookmarkEnd w:id="1"/>
            <w:r>
              <w:rPr>
                <w:rFonts w:hint="eastAsia" w:ascii="宋体" w:hAnsi="宋体" w:eastAsia="宋体" w:cs="宋体"/>
                <w:spacing w:val="-3"/>
                <w:sz w:val="21"/>
                <w:szCs w:val="21"/>
                <w:highlight w:val="none"/>
                <w:lang w:eastAsia="zh-CN"/>
              </w:rPr>
              <w:t xml:space="preserve"> </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3"/>
                <w:sz w:val="21"/>
                <w:szCs w:val="21"/>
                <w:highlight w:val="none"/>
                <w:lang w:eastAsia="zh-CN"/>
              </w:rPr>
              <w:t>3.商务和技术得分较高的投标人优先。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32" w:type="dxa"/>
            <w:tcBorders>
              <w:tl2br w:val="nil"/>
              <w:tr2bl w:val="nil"/>
            </w:tcBorders>
            <w:vAlign w:val="center"/>
          </w:tcPr>
          <w:p>
            <w:pPr>
              <w:pStyle w:val="32"/>
              <w:adjustRightInd w:val="0"/>
              <w:snapToGrid w:val="0"/>
              <w:spacing w:line="380" w:lineRule="exact"/>
              <w:ind w:left="148"/>
              <w:jc w:val="center"/>
              <w:rPr>
                <w:rFonts w:ascii="宋体" w:hAnsi="宋体" w:eastAsia="宋体" w:cs="宋体"/>
                <w:sz w:val="21"/>
                <w:szCs w:val="21"/>
                <w:highlight w:val="none"/>
              </w:rPr>
            </w:pPr>
            <w:r>
              <w:rPr>
                <w:rFonts w:hint="eastAsia" w:ascii="宋体" w:hAnsi="宋体" w:eastAsia="宋体" w:cs="宋体"/>
                <w:sz w:val="21"/>
                <w:szCs w:val="21"/>
                <w:highlight w:val="none"/>
              </w:rPr>
              <w:t>2.1.1</w:t>
            </w:r>
          </w:p>
          <w:p>
            <w:pPr>
              <w:pStyle w:val="32"/>
              <w:adjustRightInd w:val="0"/>
              <w:snapToGrid w:val="0"/>
              <w:spacing w:line="380" w:lineRule="exact"/>
              <w:ind w:left="148"/>
              <w:jc w:val="center"/>
              <w:rPr>
                <w:rFonts w:ascii="宋体" w:hAnsi="宋体" w:eastAsia="宋体" w:cs="宋体"/>
                <w:sz w:val="21"/>
                <w:szCs w:val="21"/>
                <w:highlight w:val="none"/>
              </w:rPr>
            </w:pPr>
            <w:r>
              <w:rPr>
                <w:rFonts w:hint="eastAsia" w:ascii="宋体" w:hAnsi="宋体" w:eastAsia="宋体" w:cs="宋体"/>
                <w:sz w:val="21"/>
                <w:szCs w:val="21"/>
                <w:highlight w:val="none"/>
              </w:rPr>
              <w:t>2.1.3</w:t>
            </w:r>
          </w:p>
        </w:tc>
        <w:tc>
          <w:tcPr>
            <w:tcW w:w="1440" w:type="dxa"/>
            <w:tcBorders>
              <w:tl2br w:val="nil"/>
              <w:tr2bl w:val="nil"/>
            </w:tcBorders>
            <w:vAlign w:val="center"/>
          </w:tcPr>
          <w:p>
            <w:pPr>
              <w:pStyle w:val="32"/>
              <w:adjustRightInd w:val="0"/>
              <w:snapToGrid w:val="0"/>
              <w:spacing w:line="380" w:lineRule="exact"/>
              <w:ind w:left="206" w:right="201"/>
              <w:jc w:val="center"/>
              <w:rPr>
                <w:rFonts w:ascii="宋体" w:hAnsi="宋体" w:eastAsia="宋体" w:cs="宋体"/>
                <w:sz w:val="21"/>
                <w:szCs w:val="21"/>
                <w:highlight w:val="none"/>
                <w:lang w:eastAsia="zh-CN"/>
              </w:rPr>
            </w:pPr>
            <w:r>
              <w:rPr>
                <w:rFonts w:hint="eastAsia" w:ascii="宋体" w:hAnsi="宋体" w:eastAsia="宋体" w:cs="宋体"/>
                <w:spacing w:val="-1"/>
                <w:sz w:val="21"/>
                <w:szCs w:val="21"/>
                <w:highlight w:val="none"/>
                <w:lang w:eastAsia="zh-CN"/>
              </w:rPr>
              <w:t>形式评审</w:t>
            </w:r>
            <w:r>
              <w:rPr>
                <w:rFonts w:hint="eastAsia" w:ascii="宋体" w:hAnsi="宋体" w:eastAsia="宋体" w:cs="宋体"/>
                <w:sz w:val="21"/>
                <w:szCs w:val="21"/>
                <w:highlight w:val="none"/>
                <w:lang w:eastAsia="zh-CN"/>
              </w:rPr>
              <w:t xml:space="preserve"> </w:t>
            </w:r>
            <w:r>
              <w:rPr>
                <w:rFonts w:hint="eastAsia" w:ascii="宋体" w:hAnsi="宋体" w:eastAsia="宋体" w:cs="宋体"/>
                <w:spacing w:val="-1"/>
                <w:sz w:val="21"/>
                <w:szCs w:val="21"/>
                <w:highlight w:val="none"/>
                <w:lang w:eastAsia="zh-CN"/>
              </w:rPr>
              <w:t>与响应性</w:t>
            </w:r>
            <w:r>
              <w:rPr>
                <w:rFonts w:hint="eastAsia" w:ascii="宋体" w:hAnsi="宋体" w:eastAsia="宋体" w:cs="宋体"/>
                <w:sz w:val="21"/>
                <w:szCs w:val="21"/>
                <w:highlight w:val="none"/>
                <w:lang w:eastAsia="zh-CN"/>
              </w:rPr>
              <w:t xml:space="preserve"> </w:t>
            </w:r>
            <w:r>
              <w:rPr>
                <w:rFonts w:hint="eastAsia" w:ascii="宋体" w:hAnsi="宋体" w:eastAsia="宋体" w:cs="宋体"/>
                <w:spacing w:val="-1"/>
                <w:sz w:val="21"/>
                <w:szCs w:val="21"/>
                <w:highlight w:val="none"/>
                <w:lang w:eastAsia="zh-CN"/>
              </w:rPr>
              <w:t>评审标准</w:t>
            </w:r>
          </w:p>
        </w:tc>
        <w:tc>
          <w:tcPr>
            <w:tcW w:w="7663" w:type="dxa"/>
            <w:tcBorders>
              <w:tl2br w:val="nil"/>
              <w:tr2bl w:val="nil"/>
            </w:tcBorders>
            <w:vAlign w:val="center"/>
          </w:tcPr>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b/>
                <w:bCs/>
                <w:sz w:val="21"/>
                <w:szCs w:val="21"/>
                <w:highlight w:val="none"/>
                <w:lang w:eastAsia="zh-CN"/>
              </w:rPr>
              <w:t>第一个信封（商务及技术文件）评审标准：</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3"/>
                <w:sz w:val="21"/>
                <w:szCs w:val="21"/>
                <w:highlight w:val="none"/>
                <w:lang w:eastAsia="zh-CN"/>
              </w:rPr>
              <w:t>（1）投标文件按照招标文件规定的格式、内容填写，字迹清晰可辨；</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1"/>
                <w:sz w:val="21"/>
                <w:szCs w:val="21"/>
                <w:highlight w:val="none"/>
                <w:lang w:eastAsia="zh-CN"/>
              </w:rPr>
              <w:t>a.投标函按招标文件规定填报了项目名称、标段号、补遗书编号（如</w:t>
            </w:r>
            <w:r>
              <w:rPr>
                <w:rFonts w:hint="eastAsia" w:ascii="宋体" w:hAnsi="宋体" w:eastAsia="宋体" w:cs="宋体"/>
                <w:spacing w:val="-8"/>
                <w:sz w:val="21"/>
                <w:szCs w:val="21"/>
                <w:highlight w:val="none"/>
                <w:lang w:eastAsia="zh-CN"/>
              </w:rPr>
              <w:t>有）、监理服务期限、工程质量要求及安全目标；</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2"/>
                <w:sz w:val="21"/>
                <w:szCs w:val="21"/>
                <w:highlight w:val="none"/>
                <w:lang w:eastAsia="zh-CN"/>
              </w:rPr>
              <w:t>b.投标文件组成齐全完整，内容均按规定填写；</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（2）投标文件上法定代表人或其委托代理人的签字、投标人的单位章盖章齐全，符合招标文件规定。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（3）投标人按照招标文件的规定提供了投标保证金；</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a.投标保证金金额符合招标文件规定的金额，且投标保证金有效期不少于投标有效期；</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b.若投标保证金采用现金或支票形式提交，投标人应在递交投标文件截止时间之前，将投标保证金由投标人的基本账户转入招标人指定账户；</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c.若投标保证金采用银行保函形式提交，银行保函的格式、开具保函的银行均满足招标文件要求，且在递交投标文件截止时间之前向招标人提交了银行保函原件。</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(4）投标人法定代表人授权委托代理人签署投标文件的，须提交授权委托书，且授权人和被授权人均在授权委托书上签名。</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(5）投标人法定代表人亲自签署投标文件的，提供了法定代表人身份证明，且法定代表人在法定代表人身份证明上签名</w:t>
            </w:r>
            <w:bookmarkStart w:id="2" w:name="_GoBack"/>
            <w:bookmarkEnd w:id="2"/>
            <w:r>
              <w:rPr>
                <w:rFonts w:hint="eastAsia" w:ascii="宋体" w:hAnsi="宋体" w:eastAsia="宋体" w:cs="宋体"/>
                <w:sz w:val="21"/>
                <w:szCs w:val="21"/>
                <w:highlight w:val="none"/>
                <w:lang w:eastAsia="zh-CN"/>
              </w:rPr>
              <w:t>。</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(6）投标人没有以联合体形式投标。</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(7）同一标段同一投标人未提交两个以上不同的投标文件。</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(8）投标文件中未出现有关投标报价的内容。</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(9）投标文件载明的招标项目完成期限未超过招标文件规定的时限。</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(10）投标文件对招标文件的实质性要求和条件作出响应。</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(11）权利义务符合招标文件规定：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a.投标人应接受招标文件规定的风险划分原则，未提出新的风险划分办法；</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b.投标人未增加委托人的责任范围，或减少投标人义务；</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c.投标人未提出不同的工程验收、计量、支付办法；</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d.投标人对合同纠纷、事故处理办法未提出异议；</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e.投标人在投标活动中无欺诈行为；</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f.投标人未对合同条款有重要保留。</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(12）投标文件正、副本份数符合招标文件第二章“投标人须知”第 3.7.4 项规定。</w:t>
            </w:r>
          </w:p>
          <w:p>
            <w:pPr>
              <w:pStyle w:val="32"/>
              <w:numPr>
                <w:ilvl w:val="0"/>
                <w:numId w:val="3"/>
              </w:numPr>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投标人未附有招标人不能接受的其他条件。</w:t>
            </w:r>
          </w:p>
          <w:p>
            <w:pPr>
              <w:pStyle w:val="32"/>
              <w:numPr>
                <w:ilvl w:val="0"/>
                <w:numId w:val="3"/>
              </w:numPr>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各层封套、投标函标明的标段号、单位名称及内容一致。</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p>
          <w:p>
            <w:pPr>
              <w:pStyle w:val="32"/>
              <w:adjustRightInd w:val="0"/>
              <w:snapToGrid w:val="0"/>
              <w:spacing w:line="380" w:lineRule="exact"/>
              <w:ind w:left="218" w:leftChars="99" w:right="172" w:rightChars="78"/>
              <w:jc w:val="both"/>
              <w:rPr>
                <w:rFonts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第二个信封（报价文件）评审标准：</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 投标文件按照招标文件规定的格式、内容填写，字迹清晰可辨，内容齐全完整；</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a.投标函按招标文件规定填报了项目名称、标段号、补遗书编号（如有）、投标价（包括大写金额和小写金额）；</w:t>
            </w:r>
          </w:p>
          <w:p>
            <w:pPr>
              <w:pStyle w:val="32"/>
              <w:adjustRightInd w:val="0"/>
              <w:snapToGrid w:val="0"/>
              <w:spacing w:line="380" w:lineRule="exact"/>
              <w:ind w:right="172" w:rightChars="78" w:firstLine="218" w:firstLineChars="104"/>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b.已标价报价清单说明文字与招标文件规定一致，未进行实质性修改和删减；</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c.投标文件组成齐全完整，内容均按规定填写。</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（2）投标文件上法定代表人或其委托代理人的签字、投标人的单位章盖章齐全，符合招标文件规定。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（3）投标报价未超过招标文件设定的最高投标限价（如有）。</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（4）投标报价的大写金额能够确定具体数值。</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（5）同一投标人未提交两个以上不同的投标报价，但招标文件要求提交备选投标的除外。</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（6）投标文件正、副本份数符合招标文件第二章“投标人须知”第3.7.4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5" w:hRule="atLeast"/>
          <w:jc w:val="center"/>
        </w:trPr>
        <w:tc>
          <w:tcPr>
            <w:tcW w:w="732" w:type="dxa"/>
            <w:tcBorders>
              <w:tl2br w:val="nil"/>
              <w:tr2bl w:val="nil"/>
            </w:tcBorders>
            <w:vAlign w:val="center"/>
          </w:tcPr>
          <w:p>
            <w:pPr>
              <w:pStyle w:val="32"/>
              <w:adjustRightInd w:val="0"/>
              <w:snapToGrid w:val="0"/>
              <w:spacing w:line="380" w:lineRule="exact"/>
              <w:ind w:left="10" w:hanging="10" w:hangingChars="5"/>
              <w:jc w:val="center"/>
              <w:rPr>
                <w:rFonts w:ascii="宋体" w:hAnsi="宋体" w:eastAsia="宋体" w:cs="宋体"/>
                <w:sz w:val="21"/>
                <w:szCs w:val="21"/>
                <w:highlight w:val="none"/>
              </w:rPr>
            </w:pPr>
            <w:r>
              <w:rPr>
                <w:rFonts w:hint="eastAsia" w:ascii="宋体" w:hAnsi="宋体" w:eastAsia="宋体" w:cs="宋体"/>
                <w:sz w:val="21"/>
                <w:szCs w:val="21"/>
                <w:highlight w:val="none"/>
              </w:rPr>
              <w:t>2.1.2</w:t>
            </w:r>
          </w:p>
        </w:tc>
        <w:tc>
          <w:tcPr>
            <w:tcW w:w="1440" w:type="dxa"/>
            <w:tcBorders>
              <w:tl2br w:val="nil"/>
              <w:tr2bl w:val="nil"/>
            </w:tcBorders>
            <w:vAlign w:val="center"/>
          </w:tcPr>
          <w:p>
            <w:pPr>
              <w:pStyle w:val="32"/>
              <w:adjustRightInd w:val="0"/>
              <w:snapToGrid w:val="0"/>
              <w:spacing w:line="380" w:lineRule="exact"/>
              <w:ind w:left="237" w:right="330" w:hanging="17"/>
              <w:jc w:val="center"/>
              <w:rPr>
                <w:rFonts w:ascii="宋体" w:hAnsi="宋体" w:eastAsia="宋体" w:cs="宋体"/>
                <w:sz w:val="21"/>
                <w:szCs w:val="21"/>
                <w:highlight w:val="none"/>
              </w:rPr>
            </w:pPr>
            <w:r>
              <w:rPr>
                <w:rFonts w:hint="eastAsia" w:ascii="宋体" w:hAnsi="宋体" w:eastAsia="宋体" w:cs="宋体"/>
                <w:sz w:val="21"/>
                <w:szCs w:val="21"/>
                <w:highlight w:val="none"/>
              </w:rPr>
              <w:t>资格评审标准</w:t>
            </w:r>
          </w:p>
        </w:tc>
        <w:tc>
          <w:tcPr>
            <w:tcW w:w="7663" w:type="dxa"/>
            <w:tcBorders>
              <w:tl2br w:val="nil"/>
              <w:tr2bl w:val="nil"/>
            </w:tcBorders>
            <w:vAlign w:val="center"/>
          </w:tcPr>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（1）投标人具备有效的营业执照、资质证书。</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（2）投标人的资质等级符合招标文件规定。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（3）投标人的类似项目业绩符合招标文件规定。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（4）投标人的信誉符合招标文件规定。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（5）投标人的主要人员资格、在岗情况符合招标文件规定。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（6）投标人的其他要求符合招标文件规定。</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（7）投标人不存在第二章“投标人须知”第 1.4.3 项及第 1.4.4 项规定的任何一种情形。</w:t>
            </w:r>
          </w:p>
          <w:p>
            <w:pPr>
              <w:pStyle w:val="32"/>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（8）投标人符合第二章“投标人须知”第 1.4.5 项规定。</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2900" w:hRule="atLeast"/>
          <w:jc w:val="center"/>
        </w:trPr>
        <w:tc>
          <w:tcPr>
            <w:tcW w:w="732"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jc w:val="center"/>
              <w:rPr>
                <w:rFonts w:ascii="宋体" w:hAnsi="宋体" w:eastAsia="宋体" w:cs="宋体"/>
                <w:sz w:val="21"/>
                <w:szCs w:val="21"/>
                <w:highlight w:val="none"/>
              </w:rPr>
            </w:pPr>
            <w:r>
              <w:rPr>
                <w:rFonts w:hint="eastAsia" w:ascii="宋体" w:hAnsi="宋体" w:eastAsia="宋体" w:cs="宋体"/>
                <w:sz w:val="21"/>
                <w:szCs w:val="21"/>
                <w:highlight w:val="none"/>
              </w:rPr>
              <w:t>2.2.1</w:t>
            </w:r>
          </w:p>
        </w:tc>
        <w:tc>
          <w:tcPr>
            <w:tcW w:w="1440"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分值构成</w:t>
            </w:r>
          </w:p>
          <w:p>
            <w:pPr>
              <w:pStyle w:val="32"/>
              <w:adjustRightInd w:val="0"/>
              <w:snapToGrid w:val="0"/>
              <w:spacing w:line="380" w:lineRule="exact"/>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（总分</w:t>
            </w:r>
            <w:r>
              <w:rPr>
                <w:rFonts w:hint="eastAsia" w:ascii="宋体" w:hAnsi="宋体" w:eastAsia="宋体" w:cs="宋体"/>
                <w:spacing w:val="-51"/>
                <w:sz w:val="21"/>
                <w:szCs w:val="21"/>
                <w:highlight w:val="none"/>
                <w:lang w:eastAsia="zh-CN"/>
              </w:rPr>
              <w:t xml:space="preserve"> </w:t>
            </w:r>
            <w:r>
              <w:rPr>
                <w:rFonts w:hint="eastAsia" w:ascii="宋体" w:hAnsi="宋体" w:eastAsia="宋体" w:cs="宋体"/>
                <w:sz w:val="21"/>
                <w:szCs w:val="21"/>
                <w:highlight w:val="none"/>
                <w:lang w:eastAsia="zh-CN"/>
              </w:rPr>
              <w:t>100</w:t>
            </w:r>
          </w:p>
          <w:p>
            <w:pPr>
              <w:pStyle w:val="32"/>
              <w:adjustRightInd w:val="0"/>
              <w:snapToGrid w:val="0"/>
              <w:spacing w:line="380" w:lineRule="exact"/>
              <w:ind w:left="2"/>
              <w:jc w:val="center"/>
              <w:rPr>
                <w:rFonts w:ascii="宋体" w:hAnsi="宋体" w:eastAsia="宋体" w:cs="宋体"/>
                <w:sz w:val="21"/>
                <w:szCs w:val="21"/>
                <w:highlight w:val="none"/>
                <w:vertAlign w:val="superscript"/>
                <w:lang w:eastAsia="zh-CN"/>
              </w:rPr>
            </w:pPr>
            <w:r>
              <w:rPr>
                <w:rFonts w:hint="eastAsia" w:ascii="宋体" w:hAnsi="宋体" w:eastAsia="宋体" w:cs="宋体"/>
                <w:sz w:val="21"/>
                <w:szCs w:val="21"/>
                <w:highlight w:val="none"/>
                <w:lang w:eastAsia="zh-CN"/>
              </w:rPr>
              <w:t>分）</w:t>
            </w:r>
          </w:p>
        </w:tc>
        <w:tc>
          <w:tcPr>
            <w:tcW w:w="7663" w:type="dxa"/>
            <w:tcBorders>
              <w:top w:val="single" w:color="000000" w:sz="4" w:space="0"/>
              <w:left w:val="single" w:color="000000" w:sz="4" w:space="0"/>
              <w:bottom w:val="single" w:color="000000" w:sz="4" w:space="0"/>
              <w:right w:val="single" w:color="000000" w:sz="4" w:space="0"/>
            </w:tcBorders>
            <w:vAlign w:val="center"/>
          </w:tcPr>
          <w:p>
            <w:pPr>
              <w:pStyle w:val="32"/>
              <w:tabs>
                <w:tab w:val="left" w:pos="2626"/>
              </w:tabs>
              <w:adjustRightInd w:val="0"/>
              <w:snapToGrid w:val="0"/>
              <w:spacing w:line="380" w:lineRule="exact"/>
              <w:ind w:left="218" w:leftChars="99" w:right="172" w:rightChars="78"/>
              <w:jc w:val="both"/>
              <w:rPr>
                <w:rFonts w:ascii="宋体" w:hAnsi="宋体" w:eastAsia="宋体" w:cs="宋体"/>
                <w:b/>
                <w:bCs/>
                <w:sz w:val="21"/>
                <w:szCs w:val="21"/>
                <w:highlight w:val="none"/>
                <w:lang w:eastAsia="zh-CN"/>
              </w:rPr>
            </w:pPr>
            <w:r>
              <w:rPr>
                <w:rFonts w:hint="eastAsia" w:ascii="宋体" w:hAnsi="宋体" w:eastAsia="宋体" w:cs="宋体"/>
                <w:b/>
                <w:bCs/>
                <w:spacing w:val="-1"/>
                <w:sz w:val="21"/>
                <w:szCs w:val="21"/>
                <w:highlight w:val="none"/>
                <w:lang w:eastAsia="zh-CN"/>
              </w:rPr>
              <w:t>第一个信封（商务及技术文件）评分分值构成：</w:t>
            </w:r>
            <w:r>
              <w:rPr>
                <w:rFonts w:hint="eastAsia" w:ascii="宋体" w:hAnsi="宋体" w:eastAsia="宋体" w:cs="宋体"/>
                <w:b/>
                <w:bCs/>
                <w:sz w:val="21"/>
                <w:szCs w:val="21"/>
                <w:highlight w:val="none"/>
                <w:lang w:eastAsia="zh-CN"/>
              </w:rPr>
              <w:t xml:space="preserve"> </w:t>
            </w:r>
          </w:p>
          <w:p>
            <w:pPr>
              <w:pStyle w:val="32"/>
              <w:tabs>
                <w:tab w:val="left" w:pos="2626"/>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2"/>
                <w:sz w:val="21"/>
                <w:szCs w:val="21"/>
                <w:highlight w:val="none"/>
                <w:lang w:eastAsia="zh-CN"/>
              </w:rPr>
              <w:t>技术建议书：</w:t>
            </w:r>
            <w:r>
              <w:rPr>
                <w:rFonts w:hint="eastAsia" w:ascii="宋体" w:hAnsi="宋体" w:eastAsia="宋体" w:cs="宋体"/>
                <w:spacing w:val="-2"/>
                <w:sz w:val="21"/>
                <w:szCs w:val="21"/>
                <w:highlight w:val="none"/>
                <w:u w:val="single" w:color="000000"/>
                <w:lang w:eastAsia="zh-CN"/>
              </w:rPr>
              <w:t>35</w:t>
            </w:r>
            <w:r>
              <w:rPr>
                <w:rFonts w:hint="eastAsia" w:ascii="宋体" w:hAnsi="宋体" w:eastAsia="宋体" w:cs="宋体"/>
                <w:sz w:val="21"/>
                <w:szCs w:val="21"/>
                <w:highlight w:val="none"/>
                <w:lang w:eastAsia="zh-CN"/>
              </w:rPr>
              <w:t>分</w:t>
            </w:r>
          </w:p>
          <w:p>
            <w:pPr>
              <w:pStyle w:val="32"/>
              <w:tabs>
                <w:tab w:val="left" w:pos="1785"/>
                <w:tab w:val="left" w:pos="2205"/>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2"/>
                <w:sz w:val="21"/>
                <w:szCs w:val="21"/>
                <w:highlight w:val="none"/>
                <w:lang w:eastAsia="zh-CN"/>
              </w:rPr>
              <w:t>主要人员：</w:t>
            </w:r>
            <w:r>
              <w:rPr>
                <w:rFonts w:hint="eastAsia" w:ascii="宋体" w:hAnsi="宋体" w:eastAsia="宋体" w:cs="宋体"/>
                <w:spacing w:val="-2"/>
                <w:sz w:val="21"/>
                <w:szCs w:val="21"/>
                <w:highlight w:val="none"/>
                <w:u w:val="single" w:color="000000"/>
                <w:lang w:eastAsia="zh-CN"/>
              </w:rPr>
              <w:t xml:space="preserve"> 35</w:t>
            </w:r>
            <w:r>
              <w:rPr>
                <w:rFonts w:hint="eastAsia" w:ascii="宋体" w:hAnsi="宋体" w:eastAsia="宋体" w:cs="宋体"/>
                <w:sz w:val="21"/>
                <w:szCs w:val="21"/>
                <w:highlight w:val="none"/>
                <w:lang w:eastAsia="zh-CN"/>
              </w:rPr>
              <w:t xml:space="preserve">分 </w:t>
            </w:r>
          </w:p>
          <w:p>
            <w:pPr>
              <w:pStyle w:val="32"/>
              <w:tabs>
                <w:tab w:val="left" w:pos="1785"/>
                <w:tab w:val="left" w:pos="2205"/>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1"/>
                <w:sz w:val="21"/>
                <w:szCs w:val="21"/>
                <w:highlight w:val="none"/>
                <w:lang w:eastAsia="zh-CN"/>
              </w:rPr>
              <w:t>业绩：</w:t>
            </w:r>
            <w:r>
              <w:rPr>
                <w:rFonts w:hint="eastAsia" w:ascii="宋体" w:hAnsi="宋体" w:eastAsia="宋体" w:cs="宋体"/>
                <w:spacing w:val="-1"/>
                <w:sz w:val="21"/>
                <w:szCs w:val="21"/>
                <w:highlight w:val="none"/>
                <w:u w:val="single" w:color="000000"/>
                <w:lang w:eastAsia="zh-CN"/>
              </w:rPr>
              <w:t xml:space="preserve"> 15</w:t>
            </w:r>
            <w:r>
              <w:rPr>
                <w:rFonts w:hint="eastAsia" w:ascii="宋体" w:hAnsi="宋体" w:eastAsia="宋体" w:cs="宋体"/>
                <w:sz w:val="21"/>
                <w:szCs w:val="21"/>
                <w:highlight w:val="none"/>
                <w:lang w:eastAsia="zh-CN"/>
              </w:rPr>
              <w:t xml:space="preserve">分 </w:t>
            </w:r>
          </w:p>
          <w:p>
            <w:pPr>
              <w:pStyle w:val="32"/>
              <w:tabs>
                <w:tab w:val="left" w:pos="1785"/>
                <w:tab w:val="left" w:pos="2205"/>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2"/>
                <w:sz w:val="21"/>
                <w:szCs w:val="21"/>
                <w:highlight w:val="none"/>
                <w:lang w:eastAsia="zh-CN"/>
              </w:rPr>
              <w:t>履约信誉：</w:t>
            </w:r>
            <w:r>
              <w:rPr>
                <w:rFonts w:hint="eastAsia" w:ascii="宋体" w:hAnsi="宋体" w:eastAsia="宋体" w:cs="宋体"/>
                <w:spacing w:val="-2"/>
                <w:sz w:val="21"/>
                <w:szCs w:val="21"/>
                <w:highlight w:val="none"/>
                <w:u w:val="single" w:color="000000"/>
                <w:lang w:eastAsia="zh-CN"/>
              </w:rPr>
              <w:t>5</w:t>
            </w:r>
            <w:r>
              <w:rPr>
                <w:rFonts w:hint="eastAsia" w:ascii="宋体" w:hAnsi="宋体" w:eastAsia="宋体" w:cs="宋体"/>
                <w:sz w:val="21"/>
                <w:szCs w:val="21"/>
                <w:highlight w:val="none"/>
                <w:lang w:eastAsia="zh-CN"/>
              </w:rPr>
              <w:t>分</w:t>
            </w:r>
          </w:p>
          <w:p>
            <w:pPr>
              <w:pStyle w:val="32"/>
              <w:tabs>
                <w:tab w:val="left" w:pos="2630"/>
              </w:tabs>
              <w:adjustRightInd w:val="0"/>
              <w:snapToGrid w:val="0"/>
              <w:spacing w:line="380" w:lineRule="exact"/>
              <w:ind w:left="218" w:leftChars="99" w:right="172" w:rightChars="78"/>
              <w:jc w:val="both"/>
              <w:rPr>
                <w:rFonts w:ascii="宋体" w:hAnsi="宋体" w:eastAsia="宋体" w:cs="宋体"/>
                <w:b/>
                <w:bCs/>
                <w:sz w:val="21"/>
                <w:szCs w:val="21"/>
                <w:highlight w:val="none"/>
                <w:lang w:eastAsia="zh-CN"/>
              </w:rPr>
            </w:pPr>
            <w:r>
              <w:rPr>
                <w:rFonts w:hint="eastAsia" w:ascii="宋体" w:hAnsi="宋体" w:eastAsia="宋体" w:cs="宋体"/>
                <w:b/>
                <w:bCs/>
                <w:spacing w:val="-1"/>
                <w:sz w:val="21"/>
                <w:szCs w:val="21"/>
                <w:highlight w:val="none"/>
                <w:lang w:eastAsia="zh-CN"/>
              </w:rPr>
              <w:t>第二个信封（报价文件）评分分值构成：</w:t>
            </w:r>
            <w:r>
              <w:rPr>
                <w:rFonts w:hint="eastAsia" w:ascii="宋体" w:hAnsi="宋体" w:eastAsia="宋体" w:cs="宋体"/>
                <w:b/>
                <w:bCs/>
                <w:sz w:val="21"/>
                <w:szCs w:val="21"/>
                <w:highlight w:val="none"/>
                <w:lang w:eastAsia="zh-CN"/>
              </w:rPr>
              <w:t xml:space="preserve"> </w:t>
            </w:r>
          </w:p>
          <w:p>
            <w:pPr>
              <w:pStyle w:val="32"/>
              <w:tabs>
                <w:tab w:val="left" w:pos="2630"/>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1"/>
                <w:sz w:val="21"/>
                <w:szCs w:val="21"/>
                <w:highlight w:val="none"/>
                <w:lang w:eastAsia="zh-CN"/>
              </w:rPr>
              <w:t>评标价：</w:t>
            </w:r>
            <w:r>
              <w:rPr>
                <w:rFonts w:hint="eastAsia" w:ascii="宋体" w:hAnsi="宋体" w:eastAsia="宋体" w:cs="宋体"/>
                <w:spacing w:val="-1"/>
                <w:sz w:val="21"/>
                <w:szCs w:val="21"/>
                <w:highlight w:val="none"/>
                <w:u w:val="single" w:color="000000"/>
                <w:lang w:eastAsia="zh-CN"/>
              </w:rPr>
              <w:t xml:space="preserve"> 10</w:t>
            </w:r>
            <w:r>
              <w:rPr>
                <w:rFonts w:hint="eastAsia" w:ascii="宋体" w:hAnsi="宋体" w:eastAsia="宋体" w:cs="宋体"/>
                <w:sz w:val="21"/>
                <w:szCs w:val="21"/>
                <w:highlight w:val="none"/>
                <w:lang w:eastAsia="zh-CN"/>
              </w:rPr>
              <w:t>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6963" w:hRule="atLeast"/>
          <w:jc w:val="center"/>
        </w:trPr>
        <w:tc>
          <w:tcPr>
            <w:tcW w:w="732"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jc w:val="center"/>
              <w:rPr>
                <w:rFonts w:ascii="宋体" w:hAnsi="宋体" w:eastAsia="宋体" w:cs="宋体"/>
                <w:sz w:val="21"/>
                <w:szCs w:val="21"/>
                <w:highlight w:val="none"/>
              </w:rPr>
            </w:pPr>
            <w:r>
              <w:rPr>
                <w:rFonts w:hint="eastAsia" w:ascii="宋体" w:hAnsi="宋体" w:eastAsia="宋体" w:cs="宋体"/>
                <w:sz w:val="21"/>
                <w:szCs w:val="21"/>
                <w:highlight w:val="none"/>
              </w:rPr>
              <w:t>2.2.2</w:t>
            </w:r>
          </w:p>
        </w:tc>
        <w:tc>
          <w:tcPr>
            <w:tcW w:w="1440"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ind w:left="213" w:right="105" w:hanging="106"/>
              <w:rPr>
                <w:rFonts w:ascii="宋体" w:hAnsi="宋体" w:eastAsia="宋体" w:cs="宋体"/>
                <w:sz w:val="21"/>
                <w:szCs w:val="21"/>
                <w:highlight w:val="none"/>
              </w:rPr>
            </w:pPr>
            <w:r>
              <w:rPr>
                <w:rFonts w:hint="eastAsia" w:ascii="宋体" w:hAnsi="宋体" w:eastAsia="宋体" w:cs="宋体"/>
                <w:sz w:val="21"/>
                <w:szCs w:val="21"/>
                <w:highlight w:val="none"/>
              </w:rPr>
              <w:t>评标基准价计算方法</w:t>
            </w:r>
          </w:p>
        </w:tc>
        <w:tc>
          <w:tcPr>
            <w:tcW w:w="7663" w:type="dxa"/>
            <w:tcBorders>
              <w:top w:val="single" w:color="000000" w:sz="4" w:space="0"/>
              <w:left w:val="single" w:color="000000" w:sz="4" w:space="0"/>
              <w:bottom w:val="single" w:color="000000" w:sz="4" w:space="0"/>
              <w:right w:val="single" w:color="000000" w:sz="4" w:space="0"/>
            </w:tcBorders>
            <w:vAlign w:val="center"/>
          </w:tcPr>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在开标现场，招标人将当场计算并宣布评标基准价。</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评标基准价的计算：</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(1)评标价Di：Di=投标函文字报价</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(2)有效评标价：通过第一信封评审且符合投标人须知5.2.4的投标报价均视为有效评标价，进入评标基准价计算。</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(3)评标基准价P计算方法：</w:t>
            </w:r>
          </w:p>
          <w:p>
            <w:pPr>
              <w:pStyle w:val="32"/>
              <w:tabs>
                <w:tab w:val="left" w:pos="2626"/>
              </w:tabs>
              <w:adjustRightInd w:val="0"/>
              <w:snapToGrid w:val="0"/>
              <w:spacing w:line="380" w:lineRule="exact"/>
              <w:ind w:left="218" w:leftChars="99" w:right="172" w:rightChars="78"/>
              <w:jc w:val="both"/>
              <w:rPr>
                <w:rFonts w:ascii="宋体" w:hAnsi="宋体" w:eastAsia="宋体" w:cs="宋体"/>
                <w:kern w:val="1"/>
                <w:sz w:val="21"/>
                <w:szCs w:val="21"/>
                <w:highlight w:val="none"/>
                <w:lang w:eastAsia="zh-CN"/>
              </w:rPr>
            </w:pPr>
            <w:r>
              <w:rPr>
                <w:rFonts w:hint="eastAsia" w:ascii="宋体" w:hAnsi="宋体" w:eastAsia="宋体" w:cs="宋体"/>
                <w:spacing w:val="-2"/>
                <w:sz w:val="21"/>
                <w:szCs w:val="21"/>
                <w:highlight w:val="none"/>
                <w:lang w:eastAsia="zh-CN"/>
              </w:rPr>
              <w:t>评标价去掉n1个最高评标价和n2个最低评标价后平均值直接作为评标基准价P。</w:t>
            </w:r>
          </w:p>
          <w:p>
            <w:pPr>
              <w:adjustRightInd w:val="0"/>
              <w:snapToGrid w:val="0"/>
              <w:spacing w:line="380" w:lineRule="exact"/>
              <w:ind w:left="218" w:leftChars="99" w:right="172" w:rightChars="78"/>
              <w:jc w:val="both"/>
              <w:rPr>
                <w:rFonts w:ascii="宋体" w:hAnsi="宋体" w:eastAsia="宋体" w:cs="宋体"/>
                <w:kern w:val="1"/>
                <w:sz w:val="21"/>
                <w:szCs w:val="21"/>
                <w:highlight w:val="none"/>
                <w:lang w:eastAsia="zh-CN"/>
              </w:rPr>
            </w:pP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p>
          <w:p>
            <w:pPr>
              <w:pStyle w:val="32"/>
              <w:tabs>
                <w:tab w:val="left" w:pos="2626"/>
              </w:tabs>
              <w:adjustRightInd w:val="0"/>
              <w:snapToGrid w:val="0"/>
              <w:spacing w:line="380" w:lineRule="exact"/>
              <w:ind w:left="218" w:leftChars="99" w:right="172" w:rightChars="78"/>
              <w:jc w:val="both"/>
              <w:rPr>
                <w:rFonts w:hint="eastAsia" w:ascii="宋体" w:hAnsi="宋体" w:eastAsia="宋体" w:cs="宋体"/>
                <w:spacing w:val="-2"/>
                <w:sz w:val="21"/>
                <w:szCs w:val="21"/>
                <w:highlight w:val="none"/>
                <w:lang w:eastAsia="zh-CN"/>
              </w:rPr>
            </w:pP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ascii="宋体" w:hAnsi="宋体" w:eastAsia="宋体" w:cs="宋体"/>
                <w:kern w:val="1"/>
                <w:sz w:val="21"/>
                <w:szCs w:val="21"/>
                <w:highlight w:val="none"/>
                <w:lang w:eastAsia="zh-CN"/>
              </w:rPr>
              <w:pict>
                <v:shape id="对象 1" o:spid="_x0000_s1028" o:spt="75" type="#_x0000_t75" style="position:absolute;left:0pt;margin-left:45.25pt;margin-top:160.5pt;height:43.5pt;width:168pt;mso-position-horizontal-relative:page;mso-position-vertical-relative:page;mso-wrap-distance-bottom:0pt;mso-wrap-distance-left:9pt;mso-wrap-distance-right:9pt;mso-wrap-distance-top:0pt;z-index:251659264;mso-width-relative:page;mso-height-relative:page;" o:ole="t" filled="f" o:preferrelative="t" stroked="f" coordsize="21600,21600">
                  <v:path/>
                  <v:fill on="f" focussize="0,0"/>
                  <v:stroke on="f" joinstyle="miter"/>
                  <v:imagedata r:id="rId5" o:title=""/>
                  <o:lock v:ext="edit" aspectratio="t"/>
                  <w10:wrap type="square"/>
                </v:shape>
                <o:OLEObject Type="Embed" ProgID="Equations" ShapeID="对象 1" DrawAspect="Content" ObjectID="_1468075725" r:id="rId4">
                  <o:LockedField>false</o:LockedField>
                </o:OLEObject>
              </w:pict>
            </w:r>
            <w:r>
              <w:rPr>
                <w:rFonts w:hint="eastAsia" w:ascii="宋体" w:hAnsi="宋体" w:eastAsia="宋体" w:cs="宋体"/>
                <w:spacing w:val="-2"/>
                <w:sz w:val="21"/>
                <w:szCs w:val="21"/>
                <w:highlight w:val="none"/>
                <w:lang w:eastAsia="zh-CN"/>
              </w:rPr>
              <w:t>式中:N为有效评标价的个数；</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n1、n2的取值（下同）：</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当N&lt;6时，n1、n2均取0；</w:t>
            </w:r>
          </w:p>
          <w:p>
            <w:pPr>
              <w:pStyle w:val="32"/>
              <w:tabs>
                <w:tab w:val="left" w:pos="2626"/>
              </w:tabs>
              <w:adjustRightInd w:val="0"/>
              <w:snapToGrid w:val="0"/>
              <w:spacing w:line="380" w:lineRule="exact"/>
              <w:ind w:left="218" w:leftChars="99" w:right="172" w:rightChars="78"/>
              <w:jc w:val="both"/>
              <w:rPr>
                <w:rFonts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当N≥6时，n1在取值区间1～M-1中随机抽取（最小为1），n2在取值区间1～M+1中随机抽取， M=N/4，M去尾取整。</w:t>
            </w:r>
          </w:p>
          <w:p>
            <w:pPr>
              <w:pStyle w:val="32"/>
              <w:tabs>
                <w:tab w:val="left" w:pos="2626"/>
              </w:tabs>
              <w:adjustRightInd w:val="0"/>
              <w:snapToGrid w:val="0"/>
              <w:spacing w:line="380" w:lineRule="exact"/>
              <w:ind w:left="218" w:leftChars="99" w:right="172" w:rightChars="78"/>
              <w:jc w:val="both"/>
              <w:rPr>
                <w:rFonts w:ascii="宋体" w:hAnsi="宋体" w:eastAsia="宋体" w:cs="宋体"/>
                <w:sz w:val="21"/>
                <w:szCs w:val="21"/>
                <w:highlight w:val="none"/>
                <w:lang w:eastAsia="zh-CN"/>
              </w:rPr>
            </w:pPr>
            <w:r>
              <w:rPr>
                <w:rFonts w:hint="eastAsia" w:ascii="宋体" w:hAnsi="宋体" w:eastAsia="宋体" w:cs="宋体"/>
                <w:spacing w:val="-2"/>
                <w:sz w:val="21"/>
                <w:szCs w:val="21"/>
                <w:highlight w:val="none"/>
                <w:lang w:eastAsia="zh-CN"/>
              </w:rPr>
              <w:t>在评标过程中，评标委员会应对招标人计算的评标基准价进行复核，存在计算错误的应予以修正并在评标报告中作出说明。除此之外评标基准价在整个评标期间保持不变，不随任何因素发生变化。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1500" w:hRule="atLeast"/>
          <w:jc w:val="center"/>
        </w:trPr>
        <w:tc>
          <w:tcPr>
            <w:tcW w:w="732"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jc w:val="center"/>
              <w:rPr>
                <w:rFonts w:ascii="宋体" w:hAnsi="宋体" w:eastAsia="宋体" w:cs="宋体"/>
                <w:sz w:val="21"/>
                <w:szCs w:val="21"/>
                <w:highlight w:val="none"/>
              </w:rPr>
            </w:pPr>
            <w:r>
              <w:rPr>
                <w:rFonts w:hint="eastAsia" w:ascii="宋体" w:hAnsi="宋体" w:eastAsia="宋体" w:cs="宋体"/>
                <w:w w:val="105"/>
                <w:sz w:val="21"/>
                <w:szCs w:val="21"/>
                <w:highlight w:val="none"/>
              </w:rPr>
              <w:t>2.2.3</w:t>
            </w:r>
          </w:p>
        </w:tc>
        <w:tc>
          <w:tcPr>
            <w:tcW w:w="1440"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ind w:left="178" w:right="68"/>
              <w:jc w:val="center"/>
              <w:rPr>
                <w:rFonts w:ascii="宋体" w:hAnsi="宋体" w:eastAsia="宋体" w:cs="宋体"/>
                <w:sz w:val="21"/>
                <w:szCs w:val="21"/>
                <w:highlight w:val="none"/>
                <w:lang w:eastAsia="zh-CN"/>
              </w:rPr>
            </w:pPr>
            <w:r>
              <w:rPr>
                <w:rFonts w:hint="eastAsia" w:ascii="宋体" w:hAnsi="宋体" w:eastAsia="宋体" w:cs="宋体"/>
                <w:spacing w:val="-5"/>
                <w:sz w:val="21"/>
                <w:szCs w:val="21"/>
                <w:highlight w:val="none"/>
                <w:lang w:eastAsia="zh-CN"/>
              </w:rPr>
              <w:t>评标价的偏差率计算公式</w:t>
            </w:r>
          </w:p>
        </w:tc>
        <w:tc>
          <w:tcPr>
            <w:tcW w:w="7663" w:type="dxa"/>
            <w:tcBorders>
              <w:top w:val="single" w:color="000000" w:sz="4" w:space="0"/>
              <w:left w:val="single" w:color="000000" w:sz="4" w:space="0"/>
              <w:bottom w:val="single" w:color="000000" w:sz="4" w:space="0"/>
              <w:right w:val="single" w:color="000000" w:sz="4" w:space="0"/>
            </w:tcBorders>
            <w:vAlign w:val="center"/>
          </w:tcPr>
          <w:p>
            <w:pPr>
              <w:pStyle w:val="32"/>
              <w:adjustRightInd w:val="0"/>
              <w:snapToGrid w:val="0"/>
              <w:spacing w:line="380" w:lineRule="exact"/>
              <w:ind w:left="218" w:leftChars="99" w:right="172" w:rightChars="78"/>
              <w:jc w:val="both"/>
              <w:rPr>
                <w:rFonts w:ascii="宋体" w:hAnsi="宋体" w:eastAsia="宋体" w:cs="宋体"/>
                <w:spacing w:val="-5"/>
                <w:sz w:val="21"/>
                <w:szCs w:val="21"/>
                <w:highlight w:val="none"/>
                <w:lang w:eastAsia="zh-CN"/>
              </w:rPr>
            </w:pPr>
            <w:r>
              <w:rPr>
                <w:rFonts w:hint="eastAsia" w:ascii="宋体" w:hAnsi="宋体" w:eastAsia="宋体" w:cs="宋体"/>
                <w:spacing w:val="-5"/>
                <w:sz w:val="21"/>
                <w:szCs w:val="21"/>
                <w:highlight w:val="none"/>
                <w:lang w:eastAsia="zh-CN"/>
              </w:rPr>
              <w:t>偏差率=100% ×（投标人评标价 一 评标基准价）/评标基准价</w:t>
            </w:r>
          </w:p>
          <w:p>
            <w:pPr>
              <w:pStyle w:val="32"/>
              <w:adjustRightInd w:val="0"/>
              <w:snapToGrid w:val="0"/>
              <w:spacing w:line="380" w:lineRule="exact"/>
              <w:ind w:left="218" w:leftChars="99" w:right="172" w:rightChars="78"/>
              <w:jc w:val="both"/>
              <w:rPr>
                <w:rFonts w:ascii="宋体" w:hAnsi="宋体" w:eastAsia="宋体" w:cs="宋体"/>
                <w:spacing w:val="-5"/>
                <w:sz w:val="21"/>
                <w:szCs w:val="21"/>
                <w:highlight w:val="none"/>
                <w:lang w:eastAsia="zh-CN"/>
              </w:rPr>
            </w:pPr>
            <w:r>
              <w:rPr>
                <w:rFonts w:hint="eastAsia" w:ascii="宋体" w:hAnsi="宋体" w:eastAsia="宋体" w:cs="宋体"/>
                <w:spacing w:val="-5"/>
                <w:sz w:val="21"/>
                <w:szCs w:val="21"/>
                <w:highlight w:val="none"/>
                <w:lang w:eastAsia="zh-CN"/>
              </w:rPr>
              <w:t>偏差率保留</w:t>
            </w:r>
            <w:r>
              <w:rPr>
                <w:rFonts w:hint="eastAsia" w:ascii="宋体" w:hAnsi="宋体" w:eastAsia="宋体" w:cs="宋体"/>
                <w:spacing w:val="-5"/>
                <w:sz w:val="21"/>
                <w:szCs w:val="21"/>
                <w:highlight w:val="none"/>
                <w:u w:val="single"/>
                <w:lang w:eastAsia="zh-CN"/>
              </w:rPr>
              <w:t xml:space="preserve"> 2</w:t>
            </w:r>
            <w:r>
              <w:rPr>
                <w:rFonts w:hint="eastAsia" w:ascii="宋体" w:hAnsi="宋体" w:eastAsia="宋体" w:cs="宋体"/>
                <w:spacing w:val="-5"/>
                <w:sz w:val="21"/>
                <w:szCs w:val="21"/>
                <w:highlight w:val="none"/>
                <w:lang w:eastAsia="zh-CN"/>
              </w:rPr>
              <w:t>位小数</w:t>
            </w:r>
          </w:p>
        </w:tc>
      </w:tr>
    </w:tbl>
    <w:p>
      <w:pPr>
        <w:spacing w:line="20" w:lineRule="exact"/>
        <w:ind w:left="105"/>
        <w:rPr>
          <w:rFonts w:ascii="宋体" w:hAnsi="宋体" w:eastAsia="宋体" w:cs="宋体"/>
          <w:color w:val="000000" w:themeColor="text1"/>
          <w:sz w:val="2"/>
          <w:szCs w:val="2"/>
          <w:highlight w:val="none"/>
          <w:lang w:eastAsia="zh-CN"/>
          <w14:textFill>
            <w14:solidFill>
              <w14:schemeClr w14:val="tx1"/>
            </w14:solidFill>
          </w14:textFill>
        </w:rPr>
      </w:pPr>
    </w:p>
    <w:p>
      <w:pPr>
        <w:spacing w:before="35"/>
        <w:ind w:right="583"/>
        <w:jc w:val="right"/>
        <w:rPr>
          <w:rFonts w:ascii="宋体" w:hAnsi="宋体" w:eastAsia="宋体" w:cs="宋体"/>
          <w:color w:val="000000" w:themeColor="text1"/>
          <w:sz w:val="20"/>
          <w:szCs w:val="20"/>
          <w:highlight w:val="none"/>
          <w14:textFill>
            <w14:solidFill>
              <w14:schemeClr w14:val="tx1"/>
            </w14:solidFill>
          </w14:textFill>
        </w:rPr>
      </w:pPr>
    </w:p>
    <w:p>
      <w:pPr>
        <w:spacing w:before="35"/>
        <w:ind w:right="583"/>
        <w:jc w:val="right"/>
        <w:rPr>
          <w:rFonts w:ascii="宋体" w:hAnsi="宋体" w:eastAsia="宋体" w:cs="宋体"/>
          <w:color w:val="000000" w:themeColor="text1"/>
          <w:sz w:val="20"/>
          <w:szCs w:val="20"/>
          <w:highlight w:val="none"/>
          <w14:textFill>
            <w14:solidFill>
              <w14:schemeClr w14:val="tx1"/>
            </w14:solidFill>
          </w14:textFill>
        </w:rPr>
      </w:pPr>
    </w:p>
    <w:p>
      <w:pPr>
        <w:pStyle w:val="29"/>
        <w:rPr>
          <w:rFonts w:ascii="宋体" w:hAnsi="宋体" w:eastAsia="宋体" w:cs="宋体"/>
          <w:highlight w:val="none"/>
        </w:rPr>
      </w:pPr>
    </w:p>
    <w:p>
      <w:pPr>
        <w:rPr>
          <w:rFonts w:ascii="宋体" w:hAnsi="宋体" w:eastAsia="宋体" w:cs="宋体"/>
          <w:highlight w:val="none"/>
        </w:rPr>
      </w:pPr>
      <w:r>
        <w:rPr>
          <w:rFonts w:hint="eastAsia" w:ascii="宋体" w:hAnsi="宋体" w:eastAsia="宋体" w:cs="宋体"/>
          <w:highlight w:val="none"/>
        </w:rPr>
        <w:br w:type="page"/>
      </w:r>
    </w:p>
    <w:p>
      <w:pPr>
        <w:pStyle w:val="29"/>
        <w:rPr>
          <w:rFonts w:ascii="宋体" w:hAnsi="宋体" w:eastAsia="宋体" w:cs="宋体"/>
          <w:highlight w:val="none"/>
        </w:rPr>
      </w:pPr>
    </w:p>
    <w:p>
      <w:pPr>
        <w:spacing w:before="35"/>
        <w:ind w:right="583"/>
        <w:jc w:val="right"/>
        <w:rPr>
          <w:rFonts w:ascii="宋体" w:hAnsi="宋体" w:eastAsia="宋体" w:cs="宋体"/>
          <w:color w:val="000000" w:themeColor="text1"/>
          <w:sz w:val="20"/>
          <w:szCs w:val="20"/>
          <w:highlight w:val="none"/>
          <w14:textFill>
            <w14:solidFill>
              <w14:schemeClr w14:val="tx1"/>
            </w14:solidFill>
          </w14:textFill>
        </w:rPr>
      </w:pPr>
    </w:p>
    <w:tbl>
      <w:tblPr>
        <w:tblStyle w:val="33"/>
        <w:tblW w:w="98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9"/>
        <w:gridCol w:w="366"/>
        <w:gridCol w:w="668"/>
        <w:gridCol w:w="720"/>
        <w:gridCol w:w="1872"/>
        <w:gridCol w:w="851"/>
        <w:gridCol w:w="44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939" w:type="dxa"/>
            <w:vMerge w:val="restart"/>
            <w:tcBorders>
              <w:tl2br w:val="nil"/>
              <w:tr2bl w:val="nil"/>
            </w:tcBorders>
            <w:vAlign w:val="center"/>
          </w:tcPr>
          <w:p>
            <w:pPr>
              <w:pStyle w:val="32"/>
              <w:spacing w:line="360" w:lineRule="exact"/>
              <w:jc w:val="center"/>
              <w:rPr>
                <w:rFonts w:ascii="宋体" w:hAnsi="宋体" w:eastAsia="宋体" w:cs="宋体"/>
                <w:b/>
                <w:bCs/>
                <w:color w:val="131318"/>
                <w:sz w:val="21"/>
                <w:szCs w:val="21"/>
                <w:highlight w:val="none"/>
              </w:rPr>
            </w:pPr>
            <w:r>
              <w:rPr>
                <w:rFonts w:hint="eastAsia" w:ascii="宋体" w:hAnsi="宋体" w:eastAsia="宋体" w:cs="宋体"/>
                <w:b/>
                <w:bCs/>
                <w:color w:val="010101"/>
                <w:sz w:val="21"/>
                <w:szCs w:val="21"/>
                <w:highlight w:val="none"/>
              </w:rPr>
              <w:t>条款号</w:t>
            </w:r>
          </w:p>
        </w:tc>
        <w:tc>
          <w:tcPr>
            <w:tcW w:w="4477" w:type="dxa"/>
            <w:gridSpan w:val="5"/>
            <w:tcBorders>
              <w:tl2br w:val="nil"/>
              <w:tr2bl w:val="nil"/>
            </w:tcBorders>
            <w:vAlign w:val="center"/>
          </w:tcPr>
          <w:p>
            <w:pPr>
              <w:pStyle w:val="32"/>
              <w:spacing w:line="360" w:lineRule="exact"/>
              <w:ind w:right="86"/>
              <w:jc w:val="center"/>
              <w:rPr>
                <w:rFonts w:ascii="宋体" w:hAnsi="宋体" w:eastAsia="宋体" w:cs="宋体"/>
                <w:b/>
                <w:bCs/>
                <w:color w:val="23232A"/>
                <w:sz w:val="21"/>
                <w:szCs w:val="21"/>
                <w:highlight w:val="none"/>
              </w:rPr>
            </w:pPr>
            <w:r>
              <w:rPr>
                <w:rFonts w:hint="eastAsia" w:ascii="宋体" w:hAnsi="宋体" w:eastAsia="宋体" w:cs="宋体"/>
                <w:b/>
                <w:bCs/>
                <w:color w:val="010101"/>
                <w:sz w:val="21"/>
                <w:szCs w:val="21"/>
                <w:highlight w:val="none"/>
                <w:lang w:eastAsia="zh-CN"/>
              </w:rPr>
              <w:t>评分因素与权重分值</w:t>
            </w:r>
          </w:p>
        </w:tc>
        <w:tc>
          <w:tcPr>
            <w:tcW w:w="4454" w:type="dxa"/>
            <w:vMerge w:val="restart"/>
            <w:tcBorders>
              <w:tl2br w:val="nil"/>
              <w:tr2bl w:val="nil"/>
            </w:tcBorders>
            <w:vAlign w:val="center"/>
          </w:tcPr>
          <w:p>
            <w:pPr>
              <w:pStyle w:val="32"/>
              <w:spacing w:line="360" w:lineRule="exact"/>
              <w:ind w:right="446" w:firstLine="105" w:firstLineChars="50"/>
              <w:jc w:val="center"/>
              <w:rPr>
                <w:rFonts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rPr>
            </w:pPr>
          </w:p>
        </w:tc>
        <w:tc>
          <w:tcPr>
            <w:tcW w:w="1034" w:type="dxa"/>
            <w:gridSpan w:val="2"/>
            <w:tcBorders>
              <w:tl2br w:val="nil"/>
              <w:tr2bl w:val="nil"/>
            </w:tcBorders>
            <w:vAlign w:val="center"/>
          </w:tcPr>
          <w:p>
            <w:pPr>
              <w:pStyle w:val="32"/>
              <w:spacing w:line="360" w:lineRule="exact"/>
              <w:ind w:left="139"/>
              <w:jc w:val="both"/>
              <w:rPr>
                <w:rFonts w:ascii="宋体" w:hAnsi="宋体" w:eastAsia="宋体" w:cs="宋体"/>
                <w:b/>
                <w:bCs/>
                <w:color w:val="23232A"/>
                <w:sz w:val="21"/>
                <w:szCs w:val="21"/>
                <w:highlight w:val="none"/>
              </w:rPr>
            </w:pPr>
            <w:r>
              <w:rPr>
                <w:rFonts w:hint="eastAsia" w:ascii="宋体" w:hAnsi="宋体" w:eastAsia="宋体" w:cs="宋体"/>
                <w:b/>
                <w:bCs/>
                <w:color w:val="010101"/>
                <w:sz w:val="21"/>
                <w:szCs w:val="21"/>
                <w:highlight w:val="none"/>
              </w:rPr>
              <w:t>评分因素</w:t>
            </w:r>
          </w:p>
        </w:tc>
        <w:tc>
          <w:tcPr>
            <w:tcW w:w="720" w:type="dxa"/>
            <w:tcBorders>
              <w:tl2br w:val="nil"/>
              <w:tr2bl w:val="nil"/>
            </w:tcBorders>
            <w:vAlign w:val="center"/>
          </w:tcPr>
          <w:p>
            <w:pPr>
              <w:pStyle w:val="32"/>
              <w:spacing w:line="360" w:lineRule="exact"/>
              <w:ind w:right="35"/>
              <w:jc w:val="center"/>
              <w:rPr>
                <w:rFonts w:ascii="宋体" w:hAnsi="宋体" w:eastAsia="宋体" w:cs="宋体"/>
                <w:b/>
                <w:bCs/>
                <w:color w:val="010101"/>
                <w:sz w:val="21"/>
                <w:szCs w:val="21"/>
                <w:highlight w:val="none"/>
              </w:rPr>
            </w:pPr>
            <w:r>
              <w:rPr>
                <w:rFonts w:hint="eastAsia" w:ascii="宋体" w:hAnsi="宋体" w:eastAsia="宋体" w:cs="宋体"/>
                <w:b/>
                <w:bCs/>
                <w:color w:val="010101"/>
                <w:sz w:val="21"/>
                <w:szCs w:val="21"/>
                <w:highlight w:val="none"/>
              </w:rPr>
              <w:t>权重</w:t>
            </w:r>
          </w:p>
          <w:p>
            <w:pPr>
              <w:pStyle w:val="32"/>
              <w:spacing w:line="360" w:lineRule="exact"/>
              <w:ind w:right="35"/>
              <w:jc w:val="center"/>
              <w:rPr>
                <w:rFonts w:ascii="宋体" w:hAnsi="宋体" w:eastAsia="宋体" w:cs="宋体"/>
                <w:b/>
                <w:bCs/>
                <w:color w:val="23232A"/>
                <w:sz w:val="21"/>
                <w:szCs w:val="21"/>
                <w:highlight w:val="none"/>
              </w:rPr>
            </w:pPr>
            <w:r>
              <w:rPr>
                <w:rFonts w:hint="eastAsia" w:ascii="宋体" w:hAnsi="宋体" w:eastAsia="宋体" w:cs="宋体"/>
                <w:b/>
                <w:bCs/>
                <w:color w:val="010101"/>
                <w:sz w:val="21"/>
                <w:szCs w:val="21"/>
                <w:highlight w:val="none"/>
              </w:rPr>
              <w:t>分值</w:t>
            </w:r>
          </w:p>
        </w:tc>
        <w:tc>
          <w:tcPr>
            <w:tcW w:w="1872" w:type="dxa"/>
            <w:tcBorders>
              <w:tl2br w:val="nil"/>
              <w:tr2bl w:val="nil"/>
            </w:tcBorders>
            <w:vAlign w:val="center"/>
          </w:tcPr>
          <w:p>
            <w:pPr>
              <w:pStyle w:val="32"/>
              <w:spacing w:line="360" w:lineRule="exact"/>
              <w:ind w:left="105"/>
              <w:jc w:val="center"/>
              <w:rPr>
                <w:rFonts w:ascii="宋体" w:hAnsi="宋体" w:eastAsia="宋体" w:cs="宋体"/>
                <w:b/>
                <w:bCs/>
                <w:color w:val="23232A"/>
                <w:sz w:val="21"/>
                <w:szCs w:val="21"/>
                <w:highlight w:val="none"/>
                <w:lang w:eastAsia="zh-CN"/>
              </w:rPr>
            </w:pPr>
            <w:r>
              <w:rPr>
                <w:rFonts w:hint="eastAsia" w:ascii="宋体" w:hAnsi="宋体" w:eastAsia="宋体" w:cs="宋体"/>
                <w:b/>
                <w:bCs/>
                <w:color w:val="010101"/>
                <w:sz w:val="21"/>
                <w:szCs w:val="21"/>
                <w:highlight w:val="none"/>
              </w:rPr>
              <w:t>各评分因素细分项</w:t>
            </w:r>
          </w:p>
        </w:tc>
        <w:tc>
          <w:tcPr>
            <w:tcW w:w="851" w:type="dxa"/>
            <w:tcBorders>
              <w:tl2br w:val="nil"/>
              <w:tr2bl w:val="nil"/>
            </w:tcBorders>
            <w:vAlign w:val="center"/>
          </w:tcPr>
          <w:p>
            <w:pPr>
              <w:pStyle w:val="32"/>
              <w:spacing w:line="360" w:lineRule="exact"/>
              <w:ind w:right="86"/>
              <w:jc w:val="center"/>
              <w:rPr>
                <w:rFonts w:ascii="宋体" w:hAnsi="宋体" w:eastAsia="宋体" w:cs="宋体"/>
                <w:b/>
                <w:bCs/>
                <w:color w:val="23232A"/>
                <w:sz w:val="21"/>
                <w:szCs w:val="21"/>
                <w:highlight w:val="none"/>
              </w:rPr>
            </w:pPr>
            <w:r>
              <w:rPr>
                <w:rFonts w:hint="eastAsia" w:ascii="宋体" w:hAnsi="宋体" w:eastAsia="宋体" w:cs="宋体"/>
                <w:b/>
                <w:bCs/>
                <w:color w:val="010101"/>
                <w:sz w:val="21"/>
                <w:szCs w:val="21"/>
                <w:highlight w:val="none"/>
              </w:rPr>
              <w:t>分值</w:t>
            </w:r>
          </w:p>
        </w:tc>
        <w:tc>
          <w:tcPr>
            <w:tcW w:w="4454" w:type="dxa"/>
            <w:vMerge w:val="continue"/>
            <w:tcBorders>
              <w:tl2br w:val="nil"/>
              <w:tr2bl w:val="nil"/>
            </w:tcBorders>
            <w:vAlign w:val="center"/>
          </w:tcPr>
          <w:p>
            <w:pPr>
              <w:pStyle w:val="32"/>
              <w:spacing w:line="360" w:lineRule="exact"/>
              <w:ind w:right="446" w:firstLine="105" w:firstLineChars="50"/>
              <w:jc w:val="both"/>
              <w:rPr>
                <w:rFonts w:ascii="宋体" w:hAnsi="宋体" w:eastAsia="宋体" w:cs="宋体"/>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939" w:type="dxa"/>
            <w:vMerge w:val="restart"/>
            <w:tcBorders>
              <w:tl2br w:val="nil"/>
              <w:tr2bl w:val="nil"/>
            </w:tcBorders>
            <w:vAlign w:val="center"/>
          </w:tcPr>
          <w:p>
            <w:pPr>
              <w:pStyle w:val="32"/>
              <w:spacing w:line="360" w:lineRule="exact"/>
              <w:jc w:val="center"/>
              <w:rPr>
                <w:rFonts w:ascii="宋体" w:hAnsi="宋体" w:eastAsia="宋体" w:cs="宋体"/>
                <w:sz w:val="21"/>
                <w:szCs w:val="21"/>
                <w:highlight w:val="none"/>
              </w:rPr>
            </w:pPr>
            <w:r>
              <w:rPr>
                <w:rFonts w:hint="eastAsia" w:ascii="宋体" w:hAnsi="宋体" w:eastAsia="宋体" w:cs="宋体"/>
                <w:color w:val="131318"/>
                <w:sz w:val="21"/>
                <w:szCs w:val="21"/>
                <w:highlight w:val="none"/>
              </w:rPr>
              <w:t>2.2</w:t>
            </w:r>
            <w:r>
              <w:rPr>
                <w:rFonts w:hint="eastAsia" w:ascii="宋体" w:hAnsi="宋体" w:eastAsia="宋体" w:cs="宋体"/>
                <w:color w:val="131318"/>
                <w:sz w:val="21"/>
                <w:szCs w:val="21"/>
                <w:highlight w:val="none"/>
                <w:lang w:eastAsia="zh-CN"/>
              </w:rPr>
              <w:t>.4(1)</w:t>
            </w:r>
          </w:p>
        </w:tc>
        <w:tc>
          <w:tcPr>
            <w:tcW w:w="1034" w:type="dxa"/>
            <w:gridSpan w:val="2"/>
            <w:vMerge w:val="restart"/>
            <w:tcBorders>
              <w:tl2br w:val="nil"/>
              <w:tr2bl w:val="nil"/>
            </w:tcBorders>
            <w:vAlign w:val="center"/>
          </w:tcPr>
          <w:p>
            <w:pPr>
              <w:pStyle w:val="32"/>
              <w:spacing w:line="360" w:lineRule="exact"/>
              <w:ind w:left="139"/>
              <w:jc w:val="center"/>
              <w:rPr>
                <w:rFonts w:ascii="宋体" w:hAnsi="宋体" w:eastAsia="宋体" w:cs="宋体"/>
                <w:sz w:val="21"/>
                <w:szCs w:val="21"/>
                <w:highlight w:val="none"/>
              </w:rPr>
            </w:pPr>
            <w:r>
              <w:rPr>
                <w:rFonts w:hint="eastAsia" w:ascii="宋体" w:hAnsi="宋体" w:eastAsia="宋体" w:cs="宋体"/>
                <w:color w:val="23232A"/>
                <w:sz w:val="21"/>
                <w:szCs w:val="21"/>
                <w:highlight w:val="none"/>
              </w:rPr>
              <w:t>技术建议书</w:t>
            </w:r>
          </w:p>
        </w:tc>
        <w:tc>
          <w:tcPr>
            <w:tcW w:w="720" w:type="dxa"/>
            <w:vMerge w:val="restart"/>
            <w:tcBorders>
              <w:tl2br w:val="nil"/>
              <w:tr2bl w:val="nil"/>
            </w:tcBorders>
            <w:vAlign w:val="center"/>
          </w:tcPr>
          <w:p>
            <w:pPr>
              <w:pStyle w:val="32"/>
              <w:spacing w:line="360" w:lineRule="exact"/>
              <w:ind w:right="35"/>
              <w:jc w:val="center"/>
              <w:rPr>
                <w:rFonts w:ascii="宋体" w:hAnsi="宋体" w:eastAsia="宋体" w:cs="宋体"/>
                <w:sz w:val="21"/>
                <w:szCs w:val="21"/>
                <w:highlight w:val="none"/>
              </w:rPr>
            </w:pPr>
            <w:r>
              <w:rPr>
                <w:rFonts w:hint="eastAsia" w:ascii="宋体" w:hAnsi="宋体" w:eastAsia="宋体" w:cs="宋体"/>
                <w:color w:val="23232A"/>
                <w:sz w:val="21"/>
                <w:szCs w:val="21"/>
                <w:highlight w:val="none"/>
                <w:lang w:eastAsia="zh-CN"/>
              </w:rPr>
              <w:t>35</w:t>
            </w:r>
            <w:r>
              <w:rPr>
                <w:rFonts w:hint="eastAsia" w:ascii="宋体" w:hAnsi="宋体" w:eastAsia="宋体" w:cs="宋体"/>
                <w:color w:val="23232A"/>
                <w:sz w:val="21"/>
                <w:szCs w:val="21"/>
                <w:highlight w:val="none"/>
              </w:rPr>
              <w:t>分</w:t>
            </w:r>
          </w:p>
        </w:tc>
        <w:tc>
          <w:tcPr>
            <w:tcW w:w="1872" w:type="dxa"/>
            <w:tcBorders>
              <w:tl2br w:val="nil"/>
              <w:tr2bl w:val="nil"/>
            </w:tcBorders>
            <w:vAlign w:val="center"/>
          </w:tcPr>
          <w:p>
            <w:pPr>
              <w:pStyle w:val="32"/>
              <w:spacing w:line="360" w:lineRule="exact"/>
              <w:ind w:left="105"/>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监理大纲（或监理方案）和措施</w:t>
            </w:r>
          </w:p>
        </w:tc>
        <w:tc>
          <w:tcPr>
            <w:tcW w:w="851" w:type="dxa"/>
            <w:tcBorders>
              <w:tl2br w:val="nil"/>
              <w:tr2bl w:val="nil"/>
            </w:tcBorders>
            <w:vAlign w:val="center"/>
          </w:tcPr>
          <w:p>
            <w:pPr>
              <w:pStyle w:val="32"/>
              <w:spacing w:line="360" w:lineRule="exact"/>
              <w:ind w:right="86"/>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6分</w:t>
            </w:r>
          </w:p>
        </w:tc>
        <w:tc>
          <w:tcPr>
            <w:tcW w:w="4454" w:type="dxa"/>
            <w:tcBorders>
              <w:tl2br w:val="nil"/>
              <w:tr2bl w:val="nil"/>
            </w:tcBorders>
            <w:vAlign w:val="center"/>
          </w:tcPr>
          <w:p>
            <w:pPr>
              <w:pStyle w:val="32"/>
              <w:spacing w:line="360" w:lineRule="exact"/>
              <w:ind w:left="218" w:leftChars="99" w:right="446"/>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监理大纲（或监理方案）和措施完整、合理、可行得4.9～6.0分，基本得力、可行得3.6～4.8分，</w:t>
            </w:r>
            <w:r>
              <w:rPr>
                <w:rFonts w:hint="eastAsia" w:ascii="宋体" w:hAnsi="宋体" w:eastAsia="宋体" w:cs="宋体"/>
                <w:sz w:val="21"/>
                <w:szCs w:val="21"/>
                <w:highlight w:val="none"/>
                <w:lang w:val="en-US" w:eastAsia="zh-CN"/>
              </w:rPr>
              <w:t>不可行或有重大缺陷得0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6"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总监理工程师</w:t>
            </w:r>
          </w:p>
          <w:p>
            <w:pPr>
              <w:pStyle w:val="32"/>
              <w:spacing w:line="360" w:lineRule="exact"/>
              <w:ind w:left="105"/>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职责及权限</w:t>
            </w:r>
          </w:p>
        </w:tc>
        <w:tc>
          <w:tcPr>
            <w:tcW w:w="851" w:type="dxa"/>
            <w:tcBorders>
              <w:tl2br w:val="nil"/>
              <w:tr2bl w:val="nil"/>
            </w:tcBorders>
            <w:vAlign w:val="center"/>
          </w:tcPr>
          <w:p>
            <w:pPr>
              <w:pStyle w:val="32"/>
              <w:spacing w:line="360" w:lineRule="exact"/>
              <w:ind w:right="86"/>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rPr>
              <w:t>分</w:t>
            </w:r>
          </w:p>
        </w:tc>
        <w:tc>
          <w:tcPr>
            <w:tcW w:w="4454" w:type="dxa"/>
            <w:tcBorders>
              <w:tl2br w:val="nil"/>
              <w:tr2bl w:val="nil"/>
            </w:tcBorders>
            <w:vAlign w:val="center"/>
          </w:tcPr>
          <w:p>
            <w:pPr>
              <w:pStyle w:val="32"/>
              <w:spacing w:line="360" w:lineRule="exact"/>
              <w:ind w:left="218" w:leftChars="99" w:right="446"/>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职责、权限分明得1.6～2.0分，基本分明得1.2～1.5分，</w:t>
            </w:r>
            <w:r>
              <w:rPr>
                <w:rFonts w:hint="eastAsia" w:ascii="宋体" w:hAnsi="宋体" w:eastAsia="宋体" w:cs="宋体"/>
                <w:sz w:val="21"/>
                <w:szCs w:val="21"/>
                <w:highlight w:val="none"/>
                <w:lang w:val="en-US" w:eastAsia="zh-CN"/>
              </w:rPr>
              <w:t>不分明得0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7"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主要监理服务人员职责</w:t>
            </w:r>
          </w:p>
        </w:tc>
        <w:tc>
          <w:tcPr>
            <w:tcW w:w="851" w:type="dxa"/>
            <w:tcBorders>
              <w:tl2br w:val="nil"/>
              <w:tr2bl w:val="nil"/>
            </w:tcBorders>
            <w:vAlign w:val="center"/>
          </w:tcPr>
          <w:p>
            <w:pPr>
              <w:pStyle w:val="32"/>
              <w:spacing w:line="360" w:lineRule="exact"/>
              <w:ind w:right="86"/>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2分</w:t>
            </w:r>
          </w:p>
        </w:tc>
        <w:tc>
          <w:tcPr>
            <w:tcW w:w="4454" w:type="dxa"/>
            <w:tcBorders>
              <w:tl2br w:val="nil"/>
              <w:tr2bl w:val="nil"/>
            </w:tcBorders>
            <w:vAlign w:val="center"/>
          </w:tcPr>
          <w:p>
            <w:pPr>
              <w:pStyle w:val="32"/>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岗位职责明确、可行得1.6～2.0分，基本明确、可行得1.2～1.5分，</w:t>
            </w:r>
            <w:r>
              <w:rPr>
                <w:rFonts w:hint="eastAsia" w:ascii="宋体" w:hAnsi="宋体" w:eastAsia="宋体" w:cs="宋体"/>
                <w:sz w:val="21"/>
                <w:szCs w:val="21"/>
                <w:highlight w:val="none"/>
                <w:lang w:val="en-US" w:eastAsia="zh-CN"/>
              </w:rPr>
              <w:t>不明确或不可行得0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监理工作程序</w:t>
            </w:r>
          </w:p>
        </w:tc>
        <w:tc>
          <w:tcPr>
            <w:tcW w:w="851" w:type="dxa"/>
            <w:tcBorders>
              <w:tl2br w:val="nil"/>
              <w:tr2bl w:val="nil"/>
            </w:tcBorders>
            <w:vAlign w:val="center"/>
          </w:tcPr>
          <w:p>
            <w:pPr>
              <w:pStyle w:val="32"/>
              <w:spacing w:line="360" w:lineRule="exact"/>
              <w:ind w:right="86"/>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3分</w:t>
            </w:r>
          </w:p>
        </w:tc>
        <w:tc>
          <w:tcPr>
            <w:tcW w:w="4454" w:type="dxa"/>
            <w:tcBorders>
              <w:tl2br w:val="nil"/>
              <w:tr2bl w:val="nil"/>
            </w:tcBorders>
            <w:vAlign w:val="center"/>
          </w:tcPr>
          <w:p>
            <w:pPr>
              <w:pStyle w:val="32"/>
              <w:spacing w:line="360" w:lineRule="exact"/>
              <w:ind w:left="218" w:leftChars="99" w:right="271" w:rightChars="123"/>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监理服务工作程序条理清晰、可行得2.5～3.0分，基本清晰、可行得1.8～2.4分。</w:t>
            </w:r>
            <w:r>
              <w:rPr>
                <w:rFonts w:hint="eastAsia" w:ascii="宋体" w:hAnsi="宋体" w:eastAsia="宋体" w:cs="宋体"/>
                <w:sz w:val="21"/>
                <w:szCs w:val="21"/>
                <w:highlight w:val="none"/>
                <w:lang w:val="en-US" w:eastAsia="zh-CN"/>
              </w:rPr>
              <w:t>不可行或描述不清晰得0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质量控制</w:t>
            </w:r>
          </w:p>
        </w:tc>
        <w:tc>
          <w:tcPr>
            <w:tcW w:w="851" w:type="dxa"/>
            <w:tcBorders>
              <w:tl2br w:val="nil"/>
              <w:tr2bl w:val="nil"/>
            </w:tcBorders>
            <w:vAlign w:val="center"/>
          </w:tcPr>
          <w:p>
            <w:pPr>
              <w:spacing w:line="360" w:lineRule="exact"/>
              <w:ind w:right="86"/>
              <w:jc w:val="center"/>
              <w:rPr>
                <w:rFonts w:ascii="宋体" w:hAnsi="宋体" w:eastAsia="宋体" w:cs="宋体"/>
                <w:color w:val="23232A"/>
                <w:sz w:val="21"/>
                <w:szCs w:val="21"/>
                <w:highlight w:val="none"/>
              </w:rPr>
            </w:pPr>
            <w:r>
              <w:rPr>
                <w:rFonts w:hint="eastAsia" w:ascii="宋体" w:hAnsi="宋体" w:eastAsia="宋体" w:cs="宋体"/>
                <w:color w:val="23232A"/>
                <w:sz w:val="21"/>
                <w:szCs w:val="21"/>
                <w:highlight w:val="none"/>
                <w:lang w:eastAsia="zh-CN"/>
              </w:rPr>
              <w:t>3分</w:t>
            </w:r>
          </w:p>
        </w:tc>
        <w:tc>
          <w:tcPr>
            <w:tcW w:w="4454" w:type="dxa"/>
            <w:tcBorders>
              <w:tl2br w:val="nil"/>
              <w:tr2bl w:val="nil"/>
            </w:tcBorders>
            <w:vAlign w:val="center"/>
          </w:tcPr>
          <w:p>
            <w:pPr>
              <w:pStyle w:val="32"/>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质量控制办法和措施得力、可行得2.5～3.0分，基本得力、可行得1.8～2.4分，</w:t>
            </w:r>
            <w:r>
              <w:rPr>
                <w:rFonts w:hint="eastAsia" w:ascii="宋体" w:hAnsi="宋体" w:eastAsia="宋体" w:cs="宋体"/>
                <w:sz w:val="21"/>
                <w:szCs w:val="21"/>
                <w:highlight w:val="none"/>
                <w:lang w:val="en-US" w:eastAsia="zh-CN"/>
              </w:rPr>
              <w:t>不可行或描述不得力得0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进度控制</w:t>
            </w:r>
          </w:p>
        </w:tc>
        <w:tc>
          <w:tcPr>
            <w:tcW w:w="851" w:type="dxa"/>
            <w:tcBorders>
              <w:tl2br w:val="nil"/>
              <w:tr2bl w:val="nil"/>
            </w:tcBorders>
            <w:vAlign w:val="center"/>
          </w:tcPr>
          <w:p>
            <w:pPr>
              <w:spacing w:line="360" w:lineRule="exact"/>
              <w:ind w:right="86"/>
              <w:jc w:val="center"/>
              <w:rPr>
                <w:rFonts w:ascii="宋体" w:hAnsi="宋体" w:eastAsia="宋体" w:cs="宋体"/>
                <w:color w:val="23232A"/>
                <w:sz w:val="21"/>
                <w:szCs w:val="21"/>
                <w:highlight w:val="none"/>
              </w:rPr>
            </w:pPr>
            <w:r>
              <w:rPr>
                <w:rFonts w:hint="eastAsia" w:ascii="宋体" w:hAnsi="宋体" w:eastAsia="宋体" w:cs="宋体"/>
                <w:color w:val="23232A"/>
                <w:sz w:val="21"/>
                <w:szCs w:val="21"/>
                <w:highlight w:val="none"/>
                <w:lang w:eastAsia="zh-CN"/>
              </w:rPr>
              <w:t>3分</w:t>
            </w:r>
          </w:p>
        </w:tc>
        <w:tc>
          <w:tcPr>
            <w:tcW w:w="4454" w:type="dxa"/>
            <w:tcBorders>
              <w:tl2br w:val="nil"/>
              <w:tr2bl w:val="nil"/>
            </w:tcBorders>
            <w:vAlign w:val="center"/>
          </w:tcPr>
          <w:p>
            <w:pPr>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进度控制办法和措施得力、可行得2.5～3.0分，基本得力、可行得1.8～2.4分，</w:t>
            </w:r>
            <w:r>
              <w:rPr>
                <w:rFonts w:hint="eastAsia" w:ascii="宋体" w:hAnsi="宋体" w:eastAsia="宋体" w:cs="宋体"/>
                <w:sz w:val="21"/>
                <w:szCs w:val="21"/>
                <w:highlight w:val="none"/>
                <w:lang w:val="en-US" w:eastAsia="zh-CN"/>
              </w:rPr>
              <w:t>不可行或描述不得力得0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费用控制</w:t>
            </w:r>
          </w:p>
        </w:tc>
        <w:tc>
          <w:tcPr>
            <w:tcW w:w="851" w:type="dxa"/>
            <w:tcBorders>
              <w:tl2br w:val="nil"/>
              <w:tr2bl w:val="nil"/>
            </w:tcBorders>
            <w:vAlign w:val="center"/>
          </w:tcPr>
          <w:p>
            <w:pPr>
              <w:spacing w:line="360" w:lineRule="exact"/>
              <w:ind w:right="86"/>
              <w:jc w:val="center"/>
              <w:rPr>
                <w:rFonts w:ascii="宋体" w:hAnsi="宋体" w:eastAsia="宋体" w:cs="宋体"/>
                <w:color w:val="23232A"/>
                <w:sz w:val="21"/>
                <w:szCs w:val="21"/>
                <w:highlight w:val="none"/>
              </w:rPr>
            </w:pPr>
            <w:r>
              <w:rPr>
                <w:rFonts w:hint="eastAsia" w:ascii="宋体" w:hAnsi="宋体" w:eastAsia="宋体" w:cs="宋体"/>
                <w:color w:val="23232A"/>
                <w:sz w:val="21"/>
                <w:szCs w:val="21"/>
                <w:highlight w:val="none"/>
                <w:lang w:eastAsia="zh-CN"/>
              </w:rPr>
              <w:t>2分</w:t>
            </w:r>
          </w:p>
        </w:tc>
        <w:tc>
          <w:tcPr>
            <w:tcW w:w="4454" w:type="dxa"/>
            <w:tcBorders>
              <w:tl2br w:val="nil"/>
              <w:tr2bl w:val="nil"/>
            </w:tcBorders>
            <w:vAlign w:val="center"/>
          </w:tcPr>
          <w:p>
            <w:pPr>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费用控制办法和措施得力、可行得1.6～2.0分，基本得力、可行得1.2～1.5分，</w:t>
            </w:r>
            <w:r>
              <w:rPr>
                <w:rFonts w:hint="eastAsia" w:ascii="宋体" w:hAnsi="宋体" w:eastAsia="宋体" w:cs="宋体"/>
                <w:sz w:val="21"/>
                <w:szCs w:val="21"/>
                <w:highlight w:val="none"/>
                <w:lang w:val="en-US" w:eastAsia="zh-CN"/>
              </w:rPr>
              <w:t>不可行或描述不得力得0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5"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施工安全、环境管理</w:t>
            </w:r>
          </w:p>
        </w:tc>
        <w:tc>
          <w:tcPr>
            <w:tcW w:w="851" w:type="dxa"/>
            <w:tcBorders>
              <w:tl2br w:val="nil"/>
              <w:tr2bl w:val="nil"/>
            </w:tcBorders>
            <w:vAlign w:val="center"/>
          </w:tcPr>
          <w:p>
            <w:pPr>
              <w:spacing w:line="360" w:lineRule="exact"/>
              <w:ind w:right="86"/>
              <w:jc w:val="center"/>
              <w:rPr>
                <w:rFonts w:ascii="宋体" w:hAnsi="宋体" w:eastAsia="宋体" w:cs="宋体"/>
                <w:color w:val="23232A"/>
                <w:sz w:val="21"/>
                <w:szCs w:val="21"/>
                <w:highlight w:val="none"/>
              </w:rPr>
            </w:pPr>
            <w:r>
              <w:rPr>
                <w:rFonts w:hint="eastAsia" w:ascii="宋体" w:hAnsi="宋体" w:eastAsia="宋体" w:cs="宋体"/>
                <w:color w:val="23232A"/>
                <w:sz w:val="21"/>
                <w:szCs w:val="21"/>
                <w:highlight w:val="none"/>
                <w:lang w:eastAsia="zh-CN"/>
              </w:rPr>
              <w:t>2分</w:t>
            </w:r>
          </w:p>
        </w:tc>
        <w:tc>
          <w:tcPr>
            <w:tcW w:w="4454" w:type="dxa"/>
            <w:tcBorders>
              <w:tl2br w:val="nil"/>
              <w:tr2bl w:val="nil"/>
            </w:tcBorders>
            <w:vAlign w:val="center"/>
          </w:tcPr>
          <w:p>
            <w:pPr>
              <w:spacing w:line="360" w:lineRule="exact"/>
              <w:ind w:left="218" w:leftChars="99" w:right="271" w:rightChars="123"/>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管理办法和措施得力、可行得1.6～2.0分，基本得力、可行得1.2～1.5分，</w:t>
            </w:r>
            <w:r>
              <w:rPr>
                <w:rFonts w:hint="eastAsia" w:ascii="宋体" w:hAnsi="宋体" w:eastAsia="宋体" w:cs="宋体"/>
                <w:sz w:val="21"/>
                <w:szCs w:val="21"/>
                <w:highlight w:val="none"/>
                <w:lang w:val="en-US" w:eastAsia="zh-CN"/>
              </w:rPr>
              <w:t>不可行或描述不得力得0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5"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131318"/>
                <w:sz w:val="21"/>
                <w:szCs w:val="21"/>
                <w:highlight w:val="none"/>
                <w:lang w:eastAsia="zh-CN"/>
              </w:rPr>
            </w:pPr>
          </w:p>
        </w:tc>
        <w:tc>
          <w:tcPr>
            <w:tcW w:w="1034" w:type="dxa"/>
            <w:gridSpan w:val="2"/>
            <w:vMerge w:val="continue"/>
            <w:tcBorders>
              <w:tl2br w:val="nil"/>
              <w:tr2bl w:val="nil"/>
            </w:tcBorders>
            <w:vAlign w:val="center"/>
          </w:tcPr>
          <w:p>
            <w:pPr>
              <w:pStyle w:val="32"/>
              <w:spacing w:line="360" w:lineRule="exact"/>
              <w:ind w:left="139"/>
              <w:jc w:val="center"/>
              <w:rPr>
                <w:rFonts w:ascii="宋体" w:hAnsi="宋体" w:eastAsia="宋体" w:cs="宋体"/>
                <w:color w:val="23232A"/>
                <w:sz w:val="21"/>
                <w:szCs w:val="21"/>
                <w:highlight w:val="none"/>
                <w:lang w:eastAsia="zh-CN"/>
              </w:rPr>
            </w:pPr>
          </w:p>
        </w:tc>
        <w:tc>
          <w:tcPr>
            <w:tcW w:w="720" w:type="dxa"/>
            <w:vMerge w:val="continue"/>
            <w:tcBorders>
              <w:tl2br w:val="nil"/>
              <w:tr2bl w:val="nil"/>
            </w:tcBorders>
            <w:vAlign w:val="center"/>
          </w:tcPr>
          <w:p>
            <w:pPr>
              <w:pStyle w:val="32"/>
              <w:spacing w:line="360" w:lineRule="exact"/>
              <w:ind w:right="35"/>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line="360" w:lineRule="exact"/>
              <w:ind w:left="105"/>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合同管理</w:t>
            </w:r>
          </w:p>
        </w:tc>
        <w:tc>
          <w:tcPr>
            <w:tcW w:w="851" w:type="dxa"/>
            <w:tcBorders>
              <w:tl2br w:val="nil"/>
              <w:tr2bl w:val="nil"/>
            </w:tcBorders>
            <w:vAlign w:val="center"/>
          </w:tcPr>
          <w:p>
            <w:pPr>
              <w:spacing w:line="360" w:lineRule="exact"/>
              <w:ind w:right="86"/>
              <w:jc w:val="center"/>
              <w:rPr>
                <w:rFonts w:ascii="宋体" w:hAnsi="宋体" w:eastAsia="宋体" w:cs="宋体"/>
                <w:color w:val="23232A"/>
                <w:sz w:val="21"/>
                <w:szCs w:val="21"/>
                <w:highlight w:val="none"/>
              </w:rPr>
            </w:pPr>
            <w:r>
              <w:rPr>
                <w:rFonts w:hint="eastAsia" w:ascii="宋体" w:hAnsi="宋体" w:eastAsia="宋体" w:cs="宋体"/>
                <w:color w:val="23232A"/>
                <w:sz w:val="21"/>
                <w:szCs w:val="21"/>
                <w:highlight w:val="none"/>
                <w:lang w:eastAsia="zh-CN"/>
              </w:rPr>
              <w:t>2分</w:t>
            </w:r>
          </w:p>
        </w:tc>
        <w:tc>
          <w:tcPr>
            <w:tcW w:w="4454" w:type="dxa"/>
            <w:tcBorders>
              <w:tl2br w:val="nil"/>
              <w:tr2bl w:val="nil"/>
            </w:tcBorders>
            <w:vAlign w:val="center"/>
          </w:tcPr>
          <w:p>
            <w:pPr>
              <w:spacing w:line="360" w:lineRule="exact"/>
              <w:ind w:left="218" w:leftChars="99" w:right="271" w:rightChars="123"/>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合同管理办法和措施得力、可行得1.6～2.0分，基本得力、可行得1.2～1.5分，</w:t>
            </w:r>
            <w:r>
              <w:rPr>
                <w:rFonts w:hint="eastAsia" w:ascii="宋体" w:hAnsi="宋体" w:eastAsia="宋体" w:cs="宋体"/>
                <w:sz w:val="21"/>
                <w:szCs w:val="21"/>
                <w:highlight w:val="none"/>
                <w:lang w:val="en-US" w:eastAsia="zh-CN"/>
              </w:rPr>
              <w:t>不可行或描述不得力得0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5" w:hRule="atLeast"/>
          <w:jc w:val="center"/>
        </w:trPr>
        <w:tc>
          <w:tcPr>
            <w:tcW w:w="939" w:type="dxa"/>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1034" w:type="dxa"/>
            <w:gridSpan w:val="2"/>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720" w:type="dxa"/>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1872" w:type="dxa"/>
            <w:tcBorders>
              <w:tl2br w:val="nil"/>
              <w:tr2bl w:val="nil"/>
            </w:tcBorders>
            <w:vAlign w:val="center"/>
          </w:tcPr>
          <w:p>
            <w:pPr>
              <w:pStyle w:val="32"/>
              <w:spacing w:line="360" w:lineRule="exact"/>
              <w:ind w:left="100" w:right="100" w:firstLine="4"/>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本工程监理工作的重点与难点分析</w:t>
            </w:r>
          </w:p>
        </w:tc>
        <w:tc>
          <w:tcPr>
            <w:tcW w:w="851" w:type="dxa"/>
            <w:tcBorders>
              <w:tl2br w:val="nil"/>
              <w:tr2bl w:val="nil"/>
            </w:tcBorders>
            <w:vAlign w:val="center"/>
          </w:tcPr>
          <w:p>
            <w:pPr>
              <w:pStyle w:val="32"/>
              <w:spacing w:line="360" w:lineRule="exact"/>
              <w:ind w:right="91"/>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rPr>
              <w:t>分</w:t>
            </w:r>
          </w:p>
        </w:tc>
        <w:tc>
          <w:tcPr>
            <w:tcW w:w="4454" w:type="dxa"/>
            <w:tcBorders>
              <w:tl2br w:val="nil"/>
              <w:tr2bl w:val="nil"/>
            </w:tcBorders>
            <w:vAlign w:val="center"/>
          </w:tcPr>
          <w:p>
            <w:pPr>
              <w:pStyle w:val="32"/>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重点、难点分析突出鲜明得4.0～5.0分，重点、难点分析一般得3.0～3.9分，</w:t>
            </w:r>
            <w:r>
              <w:rPr>
                <w:rFonts w:hint="eastAsia" w:ascii="宋体" w:hAnsi="宋体" w:eastAsia="宋体" w:cs="宋体"/>
                <w:sz w:val="21"/>
                <w:szCs w:val="21"/>
                <w:highlight w:val="none"/>
                <w:lang w:val="en-US" w:eastAsia="zh-CN"/>
              </w:rPr>
              <w:t>重点不突出或无重点得0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939" w:type="dxa"/>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1034" w:type="dxa"/>
            <w:gridSpan w:val="2"/>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720" w:type="dxa"/>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1872" w:type="dxa"/>
            <w:tcBorders>
              <w:tl2br w:val="nil"/>
              <w:tr2bl w:val="nil"/>
            </w:tcBorders>
            <w:vAlign w:val="center"/>
          </w:tcPr>
          <w:p>
            <w:pPr>
              <w:pStyle w:val="32"/>
              <w:spacing w:line="360" w:lineRule="exact"/>
              <w:ind w:left="100" w:right="100" w:firstLine="4"/>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对本工程的建议</w:t>
            </w:r>
          </w:p>
        </w:tc>
        <w:tc>
          <w:tcPr>
            <w:tcW w:w="851" w:type="dxa"/>
            <w:tcBorders>
              <w:tl2br w:val="nil"/>
              <w:tr2bl w:val="nil"/>
            </w:tcBorders>
            <w:vAlign w:val="center"/>
          </w:tcPr>
          <w:p>
            <w:pPr>
              <w:pStyle w:val="32"/>
              <w:spacing w:line="360" w:lineRule="exact"/>
              <w:ind w:right="91"/>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5</w:t>
            </w:r>
            <w:r>
              <w:rPr>
                <w:rFonts w:hint="eastAsia" w:ascii="宋体" w:hAnsi="宋体" w:eastAsia="宋体" w:cs="宋体"/>
                <w:sz w:val="21"/>
                <w:szCs w:val="21"/>
                <w:highlight w:val="none"/>
              </w:rPr>
              <w:t>分</w:t>
            </w:r>
          </w:p>
        </w:tc>
        <w:tc>
          <w:tcPr>
            <w:tcW w:w="4454" w:type="dxa"/>
            <w:tcBorders>
              <w:tl2br w:val="nil"/>
              <w:tr2bl w:val="nil"/>
            </w:tcBorders>
            <w:vAlign w:val="center"/>
          </w:tcPr>
          <w:p>
            <w:pPr>
              <w:pStyle w:val="32"/>
              <w:spacing w:line="360" w:lineRule="exact"/>
              <w:ind w:left="218" w:leftChars="99" w:right="271" w:rightChars="123"/>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建议合理、得当得4.0～5.0分，建议一般得3.0～3.9分，</w:t>
            </w:r>
            <w:r>
              <w:rPr>
                <w:rFonts w:hint="eastAsia" w:ascii="宋体" w:hAnsi="宋体" w:eastAsia="宋体" w:cs="宋体"/>
                <w:sz w:val="21"/>
                <w:szCs w:val="21"/>
                <w:highlight w:val="none"/>
                <w:lang w:val="en-US" w:eastAsia="zh-CN"/>
              </w:rPr>
              <w:t>不合理或不得当得0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1" w:hRule="atLeast"/>
          <w:jc w:val="center"/>
        </w:trPr>
        <w:tc>
          <w:tcPr>
            <w:tcW w:w="939" w:type="dxa"/>
            <w:vMerge w:val="restart"/>
            <w:tcBorders>
              <w:tl2br w:val="nil"/>
              <w:tr2bl w:val="nil"/>
            </w:tcBorders>
            <w:vAlign w:val="center"/>
          </w:tcPr>
          <w:p>
            <w:pPr>
              <w:pStyle w:val="32"/>
              <w:spacing w:line="360" w:lineRule="exact"/>
              <w:jc w:val="center"/>
              <w:rPr>
                <w:rFonts w:ascii="宋体" w:hAnsi="宋体" w:eastAsia="宋体" w:cs="宋体"/>
                <w:sz w:val="21"/>
                <w:szCs w:val="21"/>
                <w:highlight w:val="none"/>
              </w:rPr>
            </w:pPr>
            <w:r>
              <w:rPr>
                <w:rFonts w:hint="eastAsia" w:ascii="宋体" w:hAnsi="宋体" w:eastAsia="宋体" w:cs="宋体"/>
                <w:color w:val="23232A"/>
                <w:sz w:val="21"/>
                <w:szCs w:val="21"/>
                <w:highlight w:val="none"/>
              </w:rPr>
              <w:t>2.2.4(2)</w:t>
            </w:r>
          </w:p>
          <w:p>
            <w:pPr>
              <w:pStyle w:val="29"/>
              <w:rPr>
                <w:rFonts w:ascii="宋体" w:hAnsi="宋体" w:eastAsia="宋体" w:cs="宋体"/>
                <w:sz w:val="21"/>
                <w:szCs w:val="21"/>
                <w:highlight w:val="none"/>
              </w:rPr>
            </w:pPr>
          </w:p>
        </w:tc>
        <w:tc>
          <w:tcPr>
            <w:tcW w:w="1034" w:type="dxa"/>
            <w:gridSpan w:val="2"/>
            <w:vMerge w:val="restart"/>
            <w:tcBorders>
              <w:tl2br w:val="nil"/>
              <w:tr2bl w:val="nil"/>
            </w:tcBorders>
            <w:vAlign w:val="center"/>
          </w:tcPr>
          <w:p>
            <w:pPr>
              <w:spacing w:line="360" w:lineRule="exact"/>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MTFJZJ标段主要人员</w:t>
            </w:r>
          </w:p>
        </w:tc>
        <w:tc>
          <w:tcPr>
            <w:tcW w:w="720" w:type="dxa"/>
            <w:vMerge w:val="restart"/>
            <w:tcBorders>
              <w:tl2br w:val="nil"/>
              <w:tr2bl w:val="nil"/>
            </w:tcBorders>
            <w:vAlign w:val="center"/>
          </w:tcPr>
          <w:p>
            <w:pPr>
              <w:pStyle w:val="32"/>
              <w:spacing w:line="360" w:lineRule="exact"/>
              <w:jc w:val="center"/>
              <w:rPr>
                <w:rFonts w:ascii="宋体" w:hAnsi="宋体" w:eastAsia="宋体" w:cs="宋体"/>
                <w:sz w:val="21"/>
                <w:szCs w:val="21"/>
                <w:highlight w:val="none"/>
              </w:rPr>
            </w:pPr>
            <w:r>
              <w:rPr>
                <w:rFonts w:hint="eastAsia" w:ascii="宋体" w:hAnsi="宋体" w:eastAsia="宋体" w:cs="宋体"/>
                <w:color w:val="23232A"/>
                <w:sz w:val="21"/>
                <w:szCs w:val="21"/>
                <w:highlight w:val="none"/>
                <w:lang w:eastAsia="zh-CN"/>
              </w:rPr>
              <w:t>35</w:t>
            </w:r>
            <w:r>
              <w:rPr>
                <w:rFonts w:hint="eastAsia" w:ascii="宋体" w:hAnsi="宋体" w:eastAsia="宋体" w:cs="宋体"/>
                <w:color w:val="23232A"/>
                <w:sz w:val="21"/>
                <w:szCs w:val="21"/>
                <w:highlight w:val="none"/>
              </w:rPr>
              <w:t>分</w:t>
            </w:r>
          </w:p>
        </w:tc>
        <w:tc>
          <w:tcPr>
            <w:tcW w:w="1872" w:type="dxa"/>
            <w:tcBorders>
              <w:tl2br w:val="nil"/>
              <w:tr2bl w:val="nil"/>
            </w:tcBorders>
            <w:vAlign w:val="center"/>
          </w:tcPr>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总监理工程师</w:t>
            </w:r>
          </w:p>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任职资格与业绩</w:t>
            </w:r>
          </w:p>
          <w:p>
            <w:pPr>
              <w:pStyle w:val="32"/>
              <w:spacing w:line="360" w:lineRule="exact"/>
              <w:ind w:right="86"/>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（25</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305" w:type="dxa"/>
            <w:gridSpan w:val="2"/>
            <w:tcBorders>
              <w:tl2br w:val="nil"/>
              <w:tr2bl w:val="nil"/>
            </w:tcBorders>
            <w:vAlign w:val="center"/>
          </w:tcPr>
          <w:p>
            <w:pPr>
              <w:pStyle w:val="32"/>
              <w:spacing w:line="340" w:lineRule="exact"/>
              <w:ind w:left="102"/>
              <w:jc w:val="both"/>
              <w:rPr>
                <w:rFonts w:ascii="宋体" w:hAnsi="宋体" w:eastAsia="宋体" w:cs="宋体"/>
                <w:b/>
                <w:sz w:val="21"/>
                <w:szCs w:val="21"/>
                <w:highlight w:val="none"/>
                <w:lang w:eastAsia="zh-CN"/>
              </w:rPr>
            </w:pPr>
            <w:r>
              <w:rPr>
                <w:rFonts w:hint="eastAsia" w:ascii="宋体" w:hAnsi="宋体" w:eastAsia="宋体" w:cs="宋体"/>
                <w:b/>
                <w:sz w:val="21"/>
                <w:szCs w:val="21"/>
                <w:highlight w:val="none"/>
                <w:lang w:eastAsia="zh-CN"/>
              </w:rPr>
              <w:t>满足资格审查要求得基本分20.0分</w:t>
            </w:r>
          </w:p>
          <w:p>
            <w:pPr>
              <w:pStyle w:val="32"/>
              <w:spacing w:line="340" w:lineRule="exact"/>
              <w:ind w:left="102"/>
              <w:jc w:val="both"/>
              <w:rPr>
                <w:rFonts w:ascii="宋体" w:hAnsi="宋体" w:eastAsia="宋体" w:cs="宋体"/>
                <w:sz w:val="21"/>
                <w:szCs w:val="21"/>
                <w:highlight w:val="none"/>
                <w:lang w:eastAsia="zh-CN"/>
              </w:rPr>
            </w:pPr>
            <w:r>
              <w:rPr>
                <w:rFonts w:hint="eastAsia" w:ascii="宋体" w:hAnsi="宋体" w:eastAsia="宋体" w:cs="宋体"/>
                <w:b/>
                <w:sz w:val="21"/>
                <w:szCs w:val="21"/>
                <w:highlight w:val="none"/>
                <w:lang w:val="en-US" w:eastAsia="zh-CN"/>
              </w:rPr>
              <w:t>职称</w:t>
            </w:r>
            <w:r>
              <w:rPr>
                <w:rFonts w:hint="eastAsia" w:ascii="宋体" w:hAnsi="宋体" w:eastAsia="宋体" w:cs="宋体"/>
                <w:b/>
                <w:sz w:val="21"/>
                <w:szCs w:val="21"/>
                <w:highlight w:val="none"/>
                <w:lang w:eastAsia="zh-CN"/>
              </w:rPr>
              <w:t>（5.0分）：</w:t>
            </w:r>
            <w:r>
              <w:rPr>
                <w:rFonts w:hint="eastAsia" w:ascii="宋体" w:hAnsi="宋体" w:eastAsia="宋体" w:cs="宋体"/>
                <w:sz w:val="21"/>
                <w:szCs w:val="21"/>
                <w:highlight w:val="none"/>
                <w:lang w:eastAsia="zh-CN"/>
              </w:rPr>
              <w:t>具有高级及以上技术职称得5.0分。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6"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23232A"/>
                <w:sz w:val="21"/>
                <w:szCs w:val="21"/>
                <w:highlight w:val="none"/>
                <w:lang w:eastAsia="zh-CN"/>
              </w:rPr>
            </w:pPr>
          </w:p>
        </w:tc>
        <w:tc>
          <w:tcPr>
            <w:tcW w:w="1034" w:type="dxa"/>
            <w:gridSpan w:val="2"/>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720" w:type="dxa"/>
            <w:vMerge w:val="continue"/>
            <w:tcBorders>
              <w:tl2br w:val="nil"/>
              <w:tr2bl w:val="nil"/>
            </w:tcBorders>
            <w:vAlign w:val="center"/>
          </w:tcPr>
          <w:p>
            <w:pPr>
              <w:pStyle w:val="32"/>
              <w:spacing w:line="360" w:lineRule="exact"/>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before="22" w:line="360" w:lineRule="exact"/>
              <w:ind w:left="100" w:right="147" w:firstLine="9"/>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其他主要人员任职资格能力</w:t>
            </w:r>
          </w:p>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（10分）</w:t>
            </w:r>
          </w:p>
        </w:tc>
        <w:tc>
          <w:tcPr>
            <w:tcW w:w="5305" w:type="dxa"/>
            <w:gridSpan w:val="2"/>
            <w:tcBorders>
              <w:tl2br w:val="nil"/>
              <w:tr2bl w:val="nil"/>
            </w:tcBorders>
            <w:vAlign w:val="center"/>
          </w:tcPr>
          <w:p>
            <w:pPr>
              <w:pStyle w:val="32"/>
              <w:spacing w:line="360" w:lineRule="exact"/>
              <w:ind w:left="100"/>
              <w:jc w:val="both"/>
              <w:rPr>
                <w:rFonts w:ascii="宋体" w:hAnsi="宋体" w:eastAsia="宋体" w:cs="宋体"/>
                <w:b/>
                <w:sz w:val="21"/>
                <w:szCs w:val="21"/>
                <w:highlight w:val="none"/>
                <w:lang w:eastAsia="zh-CN"/>
              </w:rPr>
            </w:pPr>
            <w:r>
              <w:rPr>
                <w:rFonts w:hint="eastAsia" w:ascii="宋体" w:hAnsi="宋体" w:eastAsia="宋体" w:cs="宋体"/>
                <w:b/>
                <w:sz w:val="21"/>
                <w:szCs w:val="21"/>
                <w:highlight w:val="none"/>
                <w:lang w:val="en-US" w:eastAsia="zh-CN"/>
              </w:rPr>
              <w:t>根据承诺文件及表格，</w:t>
            </w:r>
            <w:r>
              <w:rPr>
                <w:rFonts w:hint="eastAsia" w:ascii="宋体" w:hAnsi="宋体" w:eastAsia="宋体" w:cs="宋体"/>
                <w:b/>
                <w:sz w:val="21"/>
                <w:szCs w:val="21"/>
                <w:highlight w:val="none"/>
                <w:lang w:eastAsia="zh-CN"/>
              </w:rPr>
              <w:t>满足资格审查要求得基本分7.0分</w:t>
            </w:r>
          </w:p>
          <w:p>
            <w:pPr>
              <w:pStyle w:val="32"/>
              <w:spacing w:line="360" w:lineRule="exact"/>
              <w:ind w:left="1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房建专业监理工程师（土建岗位）增加1人加1.0分；</w:t>
            </w:r>
          </w:p>
          <w:p>
            <w:pPr>
              <w:pStyle w:val="32"/>
              <w:spacing w:line="360" w:lineRule="exact"/>
              <w:ind w:left="1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房建专业监理工程师（水暖岗位）增加1人加1.0分；</w:t>
            </w:r>
          </w:p>
          <w:p>
            <w:pPr>
              <w:pStyle w:val="32"/>
              <w:spacing w:line="360" w:lineRule="exact"/>
              <w:ind w:left="100"/>
              <w:jc w:val="both"/>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房建专业监理工程师（电气岗位）增加1人加1.0分。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jc w:val="center"/>
        </w:trPr>
        <w:tc>
          <w:tcPr>
            <w:tcW w:w="939" w:type="dxa"/>
            <w:vMerge w:val="continue"/>
            <w:tcBorders>
              <w:tl2br w:val="nil"/>
              <w:tr2bl w:val="nil"/>
            </w:tcBorders>
            <w:vAlign w:val="center"/>
          </w:tcPr>
          <w:p>
            <w:pPr>
              <w:pStyle w:val="29"/>
              <w:rPr>
                <w:rFonts w:ascii="宋体" w:hAnsi="宋体" w:eastAsia="宋体" w:cs="宋体"/>
                <w:sz w:val="21"/>
                <w:szCs w:val="21"/>
                <w:highlight w:val="none"/>
                <w:lang w:eastAsia="zh-CN"/>
              </w:rPr>
            </w:pPr>
          </w:p>
        </w:tc>
        <w:tc>
          <w:tcPr>
            <w:tcW w:w="1034" w:type="dxa"/>
            <w:gridSpan w:val="2"/>
            <w:vMerge w:val="restart"/>
            <w:tcBorders>
              <w:tl2br w:val="nil"/>
              <w:tr2bl w:val="nil"/>
            </w:tcBorders>
            <w:vAlign w:val="center"/>
          </w:tcPr>
          <w:p>
            <w:pPr>
              <w:spacing w:line="360" w:lineRule="exact"/>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MTJDZJ标段主要人员</w:t>
            </w:r>
          </w:p>
        </w:tc>
        <w:tc>
          <w:tcPr>
            <w:tcW w:w="720" w:type="dxa"/>
            <w:vMerge w:val="restart"/>
            <w:tcBorders>
              <w:tl2br w:val="nil"/>
              <w:tr2bl w:val="nil"/>
            </w:tcBorders>
            <w:vAlign w:val="center"/>
          </w:tcPr>
          <w:p>
            <w:pPr>
              <w:pStyle w:val="32"/>
              <w:spacing w:line="360" w:lineRule="exact"/>
              <w:jc w:val="center"/>
              <w:rPr>
                <w:rFonts w:ascii="宋体" w:hAnsi="宋体" w:eastAsia="宋体" w:cs="宋体"/>
                <w:color w:val="23232A"/>
                <w:sz w:val="21"/>
                <w:szCs w:val="21"/>
                <w:highlight w:val="none"/>
                <w:lang w:eastAsia="zh-CN"/>
              </w:rPr>
            </w:pPr>
            <w:r>
              <w:rPr>
                <w:rFonts w:hint="eastAsia" w:ascii="宋体" w:hAnsi="宋体" w:eastAsia="宋体" w:cs="宋体"/>
                <w:color w:val="23232A"/>
                <w:sz w:val="21"/>
                <w:szCs w:val="21"/>
                <w:highlight w:val="none"/>
                <w:lang w:eastAsia="zh-CN"/>
              </w:rPr>
              <w:t>35分</w:t>
            </w:r>
          </w:p>
        </w:tc>
        <w:tc>
          <w:tcPr>
            <w:tcW w:w="1872" w:type="dxa"/>
            <w:tcBorders>
              <w:tl2br w:val="nil"/>
              <w:tr2bl w:val="nil"/>
            </w:tcBorders>
            <w:vAlign w:val="center"/>
          </w:tcPr>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总监理工程师</w:t>
            </w:r>
          </w:p>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任职资格与业绩</w:t>
            </w:r>
          </w:p>
          <w:p>
            <w:pPr>
              <w:pStyle w:val="32"/>
              <w:spacing w:line="360" w:lineRule="exact"/>
              <w:ind w:right="86"/>
              <w:jc w:val="center"/>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25</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305" w:type="dxa"/>
            <w:gridSpan w:val="2"/>
            <w:tcBorders>
              <w:tl2br w:val="nil"/>
              <w:tr2bl w:val="nil"/>
            </w:tcBorders>
            <w:vAlign w:val="center"/>
          </w:tcPr>
          <w:p>
            <w:pPr>
              <w:pStyle w:val="32"/>
              <w:spacing w:line="340" w:lineRule="exact"/>
              <w:ind w:left="110" w:leftChars="50"/>
              <w:rPr>
                <w:rFonts w:ascii="宋体" w:hAnsi="宋体" w:eastAsia="宋体" w:cs="宋体"/>
                <w:b/>
                <w:sz w:val="21"/>
                <w:szCs w:val="21"/>
                <w:highlight w:val="none"/>
                <w:lang w:eastAsia="zh-CN"/>
              </w:rPr>
            </w:pPr>
            <w:r>
              <w:rPr>
                <w:rFonts w:hint="eastAsia" w:ascii="宋体" w:hAnsi="宋体" w:eastAsia="宋体" w:cs="宋体"/>
                <w:b/>
                <w:sz w:val="21"/>
                <w:szCs w:val="21"/>
                <w:highlight w:val="none"/>
                <w:lang w:eastAsia="zh-CN"/>
              </w:rPr>
              <w:t>满足资格审查要求得基本分20.0分</w:t>
            </w:r>
          </w:p>
          <w:p>
            <w:pPr>
              <w:pStyle w:val="32"/>
              <w:spacing w:line="340" w:lineRule="exact"/>
              <w:ind w:left="110" w:leftChars="50"/>
              <w:rPr>
                <w:rFonts w:ascii="宋体" w:hAnsi="宋体" w:eastAsia="宋体" w:cs="宋体"/>
                <w:sz w:val="21"/>
                <w:szCs w:val="21"/>
                <w:highlight w:val="none"/>
                <w:lang w:eastAsia="zh-CN"/>
              </w:rPr>
            </w:pPr>
            <w:r>
              <w:rPr>
                <w:rFonts w:hint="eastAsia" w:ascii="宋体" w:hAnsi="宋体" w:eastAsia="宋体" w:cs="宋体"/>
                <w:b/>
                <w:sz w:val="21"/>
                <w:szCs w:val="21"/>
                <w:highlight w:val="none"/>
                <w:lang w:val="en-US" w:eastAsia="zh-CN"/>
              </w:rPr>
              <w:t>职称</w:t>
            </w:r>
            <w:r>
              <w:rPr>
                <w:rFonts w:hint="eastAsia" w:ascii="宋体" w:hAnsi="宋体" w:eastAsia="宋体" w:cs="宋体"/>
                <w:b/>
                <w:sz w:val="21"/>
                <w:szCs w:val="21"/>
                <w:highlight w:val="none"/>
                <w:lang w:eastAsia="zh-CN"/>
              </w:rPr>
              <w:t>（</w:t>
            </w:r>
            <w:r>
              <w:rPr>
                <w:rFonts w:hint="eastAsia" w:ascii="宋体" w:hAnsi="宋体" w:eastAsia="宋体" w:cs="宋体"/>
                <w:b/>
                <w:sz w:val="21"/>
                <w:szCs w:val="21"/>
                <w:highlight w:val="none"/>
                <w:lang w:val="en-US" w:eastAsia="zh-CN"/>
              </w:rPr>
              <w:t>5</w:t>
            </w:r>
            <w:r>
              <w:rPr>
                <w:rFonts w:hint="eastAsia" w:ascii="宋体" w:hAnsi="宋体" w:eastAsia="宋体" w:cs="宋体"/>
                <w:b/>
                <w:sz w:val="21"/>
                <w:szCs w:val="21"/>
                <w:highlight w:val="none"/>
                <w:lang w:eastAsia="zh-CN"/>
              </w:rPr>
              <w:t>分）：</w:t>
            </w:r>
            <w:r>
              <w:rPr>
                <w:rFonts w:hint="eastAsia" w:ascii="宋体" w:hAnsi="宋体" w:eastAsia="宋体" w:cs="宋体"/>
                <w:sz w:val="21"/>
                <w:szCs w:val="21"/>
                <w:highlight w:val="none"/>
                <w:lang w:eastAsia="zh-CN"/>
              </w:rPr>
              <w:t>具有高级及以上技术职称得</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5" w:hRule="atLeast"/>
          <w:jc w:val="center"/>
        </w:trPr>
        <w:tc>
          <w:tcPr>
            <w:tcW w:w="939" w:type="dxa"/>
            <w:vMerge w:val="continue"/>
            <w:tcBorders>
              <w:tl2br w:val="nil"/>
              <w:tr2bl w:val="nil"/>
            </w:tcBorders>
            <w:vAlign w:val="center"/>
          </w:tcPr>
          <w:p>
            <w:pPr>
              <w:pStyle w:val="29"/>
              <w:rPr>
                <w:rFonts w:ascii="宋体" w:hAnsi="宋体" w:eastAsia="宋体" w:cs="宋体"/>
                <w:sz w:val="21"/>
                <w:szCs w:val="21"/>
                <w:highlight w:val="none"/>
                <w:lang w:eastAsia="zh-CN"/>
              </w:rPr>
            </w:pPr>
          </w:p>
        </w:tc>
        <w:tc>
          <w:tcPr>
            <w:tcW w:w="1034" w:type="dxa"/>
            <w:gridSpan w:val="2"/>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720" w:type="dxa"/>
            <w:vMerge w:val="continue"/>
            <w:tcBorders>
              <w:tl2br w:val="nil"/>
              <w:tr2bl w:val="nil"/>
            </w:tcBorders>
            <w:vAlign w:val="center"/>
          </w:tcPr>
          <w:p>
            <w:pPr>
              <w:pStyle w:val="32"/>
              <w:spacing w:line="360" w:lineRule="exact"/>
              <w:jc w:val="center"/>
              <w:rPr>
                <w:rFonts w:ascii="宋体" w:hAnsi="宋体" w:eastAsia="宋体" w:cs="宋体"/>
                <w:color w:val="23232A"/>
                <w:sz w:val="21"/>
                <w:szCs w:val="21"/>
                <w:highlight w:val="none"/>
                <w:lang w:eastAsia="zh-CN"/>
              </w:rPr>
            </w:pPr>
          </w:p>
        </w:tc>
        <w:tc>
          <w:tcPr>
            <w:tcW w:w="1872" w:type="dxa"/>
            <w:tcBorders>
              <w:tl2br w:val="nil"/>
              <w:tr2bl w:val="nil"/>
            </w:tcBorders>
            <w:vAlign w:val="center"/>
          </w:tcPr>
          <w:p>
            <w:pPr>
              <w:pStyle w:val="32"/>
              <w:spacing w:before="22" w:line="360" w:lineRule="exact"/>
              <w:ind w:left="100" w:right="147" w:firstLine="9"/>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其他主要人员任职资格能力</w:t>
            </w:r>
          </w:p>
          <w:p>
            <w:pPr>
              <w:pStyle w:val="32"/>
              <w:spacing w:before="22" w:line="360" w:lineRule="exact"/>
              <w:ind w:left="100" w:right="147" w:firstLine="9"/>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lang w:eastAsia="zh-CN"/>
                <w14:textFill>
                  <w14:solidFill>
                    <w14:schemeClr w14:val="tx1"/>
                  </w14:solidFill>
                </w14:textFill>
              </w:rPr>
              <w:t>分）</w:t>
            </w:r>
          </w:p>
        </w:tc>
        <w:tc>
          <w:tcPr>
            <w:tcW w:w="5305" w:type="dxa"/>
            <w:gridSpan w:val="2"/>
            <w:tcBorders>
              <w:tl2br w:val="nil"/>
              <w:tr2bl w:val="nil"/>
            </w:tcBorders>
            <w:vAlign w:val="center"/>
          </w:tcPr>
          <w:p>
            <w:pPr>
              <w:pStyle w:val="32"/>
              <w:spacing w:line="360" w:lineRule="exact"/>
              <w:ind w:left="110" w:leftChars="50"/>
              <w:rPr>
                <w:rFonts w:ascii="宋体" w:hAnsi="宋体" w:eastAsia="宋体" w:cs="宋体"/>
                <w:b/>
                <w:sz w:val="21"/>
                <w:szCs w:val="21"/>
                <w:highlight w:val="none"/>
                <w:lang w:eastAsia="zh-CN"/>
              </w:rPr>
            </w:pPr>
            <w:r>
              <w:rPr>
                <w:rFonts w:hint="eastAsia" w:ascii="宋体" w:hAnsi="宋体" w:eastAsia="宋体" w:cs="宋体"/>
                <w:b/>
                <w:sz w:val="21"/>
                <w:szCs w:val="21"/>
                <w:highlight w:val="none"/>
                <w:lang w:val="en-US" w:eastAsia="zh-CN"/>
              </w:rPr>
              <w:t>根据承诺及表格，</w:t>
            </w:r>
            <w:r>
              <w:rPr>
                <w:rFonts w:hint="eastAsia" w:ascii="宋体" w:hAnsi="宋体" w:eastAsia="宋体" w:cs="宋体"/>
                <w:b/>
                <w:sz w:val="21"/>
                <w:szCs w:val="21"/>
                <w:highlight w:val="none"/>
                <w:lang w:eastAsia="zh-CN"/>
              </w:rPr>
              <w:t>满足资格审查要求得基本分</w:t>
            </w:r>
            <w:r>
              <w:rPr>
                <w:rFonts w:hint="eastAsia" w:ascii="宋体" w:hAnsi="宋体" w:eastAsia="宋体" w:cs="宋体"/>
                <w:b/>
                <w:sz w:val="21"/>
                <w:szCs w:val="21"/>
                <w:highlight w:val="none"/>
                <w:lang w:val="en-US" w:eastAsia="zh-CN"/>
              </w:rPr>
              <w:t>6</w:t>
            </w:r>
            <w:r>
              <w:rPr>
                <w:rFonts w:hint="eastAsia" w:ascii="宋体" w:hAnsi="宋体" w:eastAsia="宋体" w:cs="宋体"/>
                <w:b/>
                <w:sz w:val="21"/>
                <w:szCs w:val="21"/>
                <w:highlight w:val="none"/>
                <w:lang w:eastAsia="zh-CN"/>
              </w:rPr>
              <w:t>.0分</w:t>
            </w:r>
          </w:p>
          <w:p>
            <w:pPr>
              <w:pStyle w:val="32"/>
              <w:spacing w:line="360" w:lineRule="exact"/>
              <w:ind w:left="110" w:leftChars="5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机电专业监理工程师（收费岗位）增加1人加</w:t>
            </w:r>
            <w:r>
              <w:rPr>
                <w:rFonts w:hint="eastAsia" w:ascii="宋体" w:hAnsi="宋体" w:eastAsia="宋体" w:cs="宋体"/>
                <w:sz w:val="21"/>
                <w:szCs w:val="21"/>
                <w:highlight w:val="none"/>
                <w:lang w:val="en-US" w:eastAsia="zh-CN"/>
              </w:rPr>
              <w:t>0.8</w:t>
            </w:r>
            <w:r>
              <w:rPr>
                <w:rFonts w:hint="eastAsia" w:ascii="宋体" w:hAnsi="宋体" w:eastAsia="宋体" w:cs="宋体"/>
                <w:sz w:val="21"/>
                <w:szCs w:val="21"/>
                <w:highlight w:val="none"/>
                <w:lang w:eastAsia="zh-CN"/>
              </w:rPr>
              <w:t>分；机电专业监理工程师（通信、监控岗位）增加1人加</w:t>
            </w:r>
            <w:r>
              <w:rPr>
                <w:rFonts w:hint="eastAsia" w:ascii="宋体" w:hAnsi="宋体" w:eastAsia="宋体" w:cs="宋体"/>
                <w:sz w:val="21"/>
                <w:szCs w:val="21"/>
                <w:highlight w:val="none"/>
                <w:lang w:val="en-US" w:eastAsia="zh-CN"/>
              </w:rPr>
              <w:t>0.8</w:t>
            </w:r>
            <w:r>
              <w:rPr>
                <w:rFonts w:hint="eastAsia" w:ascii="宋体" w:hAnsi="宋体" w:eastAsia="宋体" w:cs="宋体"/>
                <w:sz w:val="21"/>
                <w:szCs w:val="21"/>
                <w:highlight w:val="none"/>
                <w:lang w:eastAsia="zh-CN"/>
              </w:rPr>
              <w:t>分；</w:t>
            </w:r>
          </w:p>
          <w:p>
            <w:pPr>
              <w:pStyle w:val="32"/>
              <w:spacing w:line="360" w:lineRule="exact"/>
              <w:ind w:left="110" w:leftChars="5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机电专业监理工程师（消防岗位）增加1人加</w:t>
            </w:r>
            <w:r>
              <w:rPr>
                <w:rFonts w:hint="eastAsia" w:ascii="宋体" w:hAnsi="宋体" w:eastAsia="宋体" w:cs="宋体"/>
                <w:sz w:val="21"/>
                <w:szCs w:val="21"/>
                <w:highlight w:val="none"/>
                <w:lang w:val="en-US" w:eastAsia="zh-CN"/>
              </w:rPr>
              <w:t>0.8</w:t>
            </w:r>
            <w:r>
              <w:rPr>
                <w:rFonts w:hint="eastAsia" w:ascii="宋体" w:hAnsi="宋体" w:eastAsia="宋体" w:cs="宋体"/>
                <w:sz w:val="21"/>
                <w:szCs w:val="21"/>
                <w:highlight w:val="none"/>
                <w:lang w:eastAsia="zh-CN"/>
              </w:rPr>
              <w:t>分；</w:t>
            </w:r>
          </w:p>
          <w:p>
            <w:pPr>
              <w:pStyle w:val="32"/>
              <w:spacing w:line="360" w:lineRule="exact"/>
              <w:ind w:left="110" w:leftChars="5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机电专业监理工程师（供配电岗位）增加1人加</w:t>
            </w:r>
            <w:r>
              <w:rPr>
                <w:rFonts w:hint="eastAsia" w:ascii="宋体" w:hAnsi="宋体" w:eastAsia="宋体" w:cs="宋体"/>
                <w:sz w:val="21"/>
                <w:szCs w:val="21"/>
                <w:highlight w:val="none"/>
                <w:lang w:val="en-US" w:eastAsia="zh-CN"/>
              </w:rPr>
              <w:t>0.8</w:t>
            </w:r>
            <w:r>
              <w:rPr>
                <w:rFonts w:hint="eastAsia" w:ascii="宋体" w:hAnsi="宋体" w:eastAsia="宋体" w:cs="宋体"/>
                <w:sz w:val="21"/>
                <w:szCs w:val="21"/>
                <w:highlight w:val="none"/>
                <w:lang w:eastAsia="zh-CN"/>
              </w:rPr>
              <w:t>分；</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机电专业监理工程师（通风岗位）增加1人加</w:t>
            </w:r>
            <w:r>
              <w:rPr>
                <w:rFonts w:hint="eastAsia" w:ascii="宋体" w:hAnsi="宋体" w:eastAsia="宋体" w:cs="宋体"/>
                <w:sz w:val="21"/>
                <w:szCs w:val="21"/>
                <w:highlight w:val="none"/>
                <w:lang w:val="en-US" w:eastAsia="zh-CN"/>
              </w:rPr>
              <w:t>0.8</w:t>
            </w:r>
            <w:r>
              <w:rPr>
                <w:rFonts w:hint="eastAsia" w:ascii="宋体" w:hAnsi="宋体" w:eastAsia="宋体" w:cs="宋体"/>
                <w:sz w:val="21"/>
                <w:szCs w:val="21"/>
                <w:highlight w:val="none"/>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1" w:hRule="atLeast"/>
          <w:jc w:val="center"/>
        </w:trPr>
        <w:tc>
          <w:tcPr>
            <w:tcW w:w="939" w:type="dxa"/>
            <w:tcBorders>
              <w:tl2br w:val="nil"/>
              <w:tr2bl w:val="nil"/>
            </w:tcBorders>
            <w:vAlign w:val="center"/>
          </w:tcPr>
          <w:p>
            <w:pPr>
              <w:pStyle w:val="32"/>
              <w:spacing w:line="360" w:lineRule="exact"/>
              <w:ind w:left="2"/>
              <w:jc w:val="center"/>
              <w:rPr>
                <w:rFonts w:ascii="宋体" w:hAnsi="宋体" w:eastAsia="宋体" w:cs="宋体"/>
                <w:sz w:val="21"/>
                <w:szCs w:val="21"/>
                <w:highlight w:val="none"/>
              </w:rPr>
            </w:pPr>
            <w:r>
              <w:rPr>
                <w:rFonts w:hint="eastAsia" w:ascii="宋体" w:hAnsi="宋体" w:eastAsia="宋体" w:cs="宋体"/>
                <w:color w:val="131318"/>
                <w:sz w:val="21"/>
                <w:szCs w:val="21"/>
                <w:highlight w:val="none"/>
                <w:lang w:eastAsia="zh-CN"/>
              </w:rPr>
              <w:t>2</w:t>
            </w:r>
            <w:r>
              <w:rPr>
                <w:rFonts w:hint="eastAsia" w:ascii="宋体" w:hAnsi="宋体" w:eastAsia="宋体" w:cs="宋体"/>
                <w:color w:val="131318"/>
                <w:sz w:val="21"/>
                <w:szCs w:val="21"/>
                <w:highlight w:val="none"/>
              </w:rPr>
              <w:t>.2.4(3)</w:t>
            </w:r>
          </w:p>
        </w:tc>
        <w:tc>
          <w:tcPr>
            <w:tcW w:w="1034" w:type="dxa"/>
            <w:gridSpan w:val="2"/>
            <w:tcBorders>
              <w:tl2br w:val="nil"/>
              <w:tr2bl w:val="nil"/>
            </w:tcBorders>
            <w:vAlign w:val="center"/>
          </w:tcPr>
          <w:p>
            <w:pPr>
              <w:pStyle w:val="32"/>
              <w:spacing w:line="360" w:lineRule="exact"/>
              <w:jc w:val="center"/>
              <w:rPr>
                <w:rFonts w:ascii="宋体" w:hAnsi="宋体" w:eastAsia="宋体" w:cs="宋体"/>
                <w:sz w:val="21"/>
                <w:szCs w:val="21"/>
                <w:highlight w:val="none"/>
              </w:rPr>
            </w:pPr>
            <w:r>
              <w:rPr>
                <w:rFonts w:hint="eastAsia" w:ascii="宋体" w:hAnsi="宋体" w:eastAsia="宋体" w:cs="宋体"/>
                <w:color w:val="131318"/>
                <w:sz w:val="21"/>
                <w:szCs w:val="21"/>
                <w:highlight w:val="none"/>
              </w:rPr>
              <w:t>评标价</w:t>
            </w:r>
          </w:p>
        </w:tc>
        <w:tc>
          <w:tcPr>
            <w:tcW w:w="720" w:type="dxa"/>
            <w:tcBorders>
              <w:tl2br w:val="nil"/>
              <w:tr2bl w:val="nil"/>
            </w:tcBorders>
            <w:vAlign w:val="center"/>
          </w:tcPr>
          <w:p>
            <w:pPr>
              <w:pStyle w:val="32"/>
              <w:spacing w:line="360" w:lineRule="exact"/>
              <w:ind w:right="93"/>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10</w:t>
            </w:r>
            <w:r>
              <w:rPr>
                <w:rFonts w:hint="eastAsia" w:ascii="宋体" w:hAnsi="宋体" w:eastAsia="宋体" w:cs="宋体"/>
                <w:color w:val="23232A"/>
                <w:sz w:val="21"/>
                <w:szCs w:val="21"/>
                <w:highlight w:val="none"/>
              </w:rPr>
              <w:t>分</w:t>
            </w:r>
          </w:p>
        </w:tc>
        <w:tc>
          <w:tcPr>
            <w:tcW w:w="7177" w:type="dxa"/>
            <w:gridSpan w:val="3"/>
            <w:tcBorders>
              <w:tl2br w:val="nil"/>
              <w:tr2bl w:val="nil"/>
            </w:tcBorders>
            <w:vAlign w:val="center"/>
          </w:tcPr>
          <w:p>
            <w:pPr>
              <w:pStyle w:val="32"/>
              <w:spacing w:line="360" w:lineRule="exact"/>
              <w:ind w:left="1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评标价得分计算公式 ：</w:t>
            </w:r>
          </w:p>
          <w:p>
            <w:pPr>
              <w:pStyle w:val="32"/>
              <w:numPr>
                <w:ilvl w:val="0"/>
                <w:numId w:val="4"/>
              </w:numPr>
              <w:spacing w:line="360" w:lineRule="exact"/>
              <w:ind w:left="95" w:right="301" w:firstLine="9"/>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如果投标人的评标价＞评标基准价，</w:t>
            </w:r>
          </w:p>
          <w:p>
            <w:pPr>
              <w:pStyle w:val="32"/>
              <w:spacing w:line="360" w:lineRule="exact"/>
              <w:ind w:left="104" w:right="301" w:firstLine="630" w:firstLineChars="3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则评标价得分=F-偏差率×100×E1；</w:t>
            </w:r>
          </w:p>
          <w:p>
            <w:pPr>
              <w:pStyle w:val="32"/>
              <w:numPr>
                <w:ilvl w:val="0"/>
                <w:numId w:val="4"/>
              </w:numPr>
              <w:spacing w:line="360" w:lineRule="exact"/>
              <w:ind w:left="95" w:right="301" w:firstLine="9"/>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如果投标人的评标价≤评标基准价，</w:t>
            </w:r>
          </w:p>
          <w:p>
            <w:pPr>
              <w:pStyle w:val="32"/>
              <w:spacing w:line="360" w:lineRule="exact"/>
              <w:ind w:left="104" w:right="301" w:firstLine="630" w:firstLineChars="3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则评标价得分=F+偏差率×100×E2</w:t>
            </w:r>
          </w:p>
          <w:p>
            <w:pPr>
              <w:pStyle w:val="32"/>
              <w:spacing w:line="360" w:lineRule="exact"/>
              <w:ind w:left="105" w:right="94"/>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其中：F=10 是评标价所占的权重分值，</w:t>
            </w:r>
          </w:p>
          <w:p>
            <w:pPr>
              <w:pStyle w:val="32"/>
              <w:spacing w:line="360" w:lineRule="exact"/>
              <w:ind w:left="105" w:right="94" w:firstLine="630" w:firstLineChars="3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E1=0.2 是评标价每高于评标基准价一个百分点的扣分值，</w:t>
            </w:r>
          </w:p>
          <w:p>
            <w:pPr>
              <w:pStyle w:val="32"/>
              <w:spacing w:line="360" w:lineRule="exact"/>
              <w:ind w:left="105" w:right="94" w:firstLine="630" w:firstLineChars="3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E2=0.1 是评标价每低于评标基准价一个百分点的扣分值；</w:t>
            </w:r>
          </w:p>
          <w:p>
            <w:pPr>
              <w:pStyle w:val="32"/>
              <w:spacing w:line="360" w:lineRule="exact"/>
              <w:ind w:left="105" w:right="94" w:firstLine="630" w:firstLineChars="300"/>
              <w:rPr>
                <w:rFonts w:ascii="宋体" w:hAnsi="宋体" w:eastAsia="宋体" w:cs="宋体"/>
                <w:color w:val="FF0000"/>
                <w:sz w:val="21"/>
                <w:szCs w:val="21"/>
                <w:highlight w:val="none"/>
                <w:lang w:eastAsia="zh-CN"/>
              </w:rPr>
            </w:pPr>
            <w:r>
              <w:rPr>
                <w:rFonts w:hint="eastAsia" w:ascii="宋体" w:hAnsi="宋体" w:eastAsia="宋体" w:cs="宋体"/>
                <w:sz w:val="21"/>
                <w:szCs w:val="21"/>
                <w:highlight w:val="none"/>
                <w:lang w:eastAsia="zh-CN"/>
              </w:rPr>
              <w:t>评标价最低得分为0分。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jc w:val="center"/>
        </w:trPr>
        <w:tc>
          <w:tcPr>
            <w:tcW w:w="939" w:type="dxa"/>
            <w:vMerge w:val="restart"/>
            <w:tcBorders>
              <w:tl2br w:val="nil"/>
              <w:tr2bl w:val="nil"/>
            </w:tcBorders>
            <w:vAlign w:val="center"/>
          </w:tcPr>
          <w:p>
            <w:pPr>
              <w:pStyle w:val="32"/>
              <w:spacing w:line="360" w:lineRule="exact"/>
              <w:jc w:val="center"/>
              <w:rPr>
                <w:rFonts w:ascii="宋体" w:hAnsi="宋体" w:eastAsia="宋体" w:cs="宋体"/>
                <w:sz w:val="21"/>
                <w:szCs w:val="21"/>
                <w:highlight w:val="none"/>
              </w:rPr>
            </w:pPr>
            <w:r>
              <w:rPr>
                <w:rFonts w:hint="eastAsia" w:ascii="宋体" w:hAnsi="宋体" w:eastAsia="宋体" w:cs="宋体"/>
                <w:color w:val="23232A"/>
                <w:sz w:val="21"/>
                <w:szCs w:val="21"/>
                <w:highlight w:val="none"/>
              </w:rPr>
              <w:t>2.2.4(4)</w:t>
            </w:r>
          </w:p>
        </w:tc>
        <w:tc>
          <w:tcPr>
            <w:tcW w:w="366" w:type="dxa"/>
            <w:vMerge w:val="restart"/>
            <w:tcBorders>
              <w:tl2br w:val="nil"/>
              <w:tr2bl w:val="nil"/>
            </w:tcBorders>
            <w:vAlign w:val="center"/>
          </w:tcPr>
          <w:p>
            <w:pPr>
              <w:pStyle w:val="32"/>
              <w:spacing w:line="360" w:lineRule="exact"/>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其他因素</w:t>
            </w:r>
          </w:p>
        </w:tc>
        <w:tc>
          <w:tcPr>
            <w:tcW w:w="668" w:type="dxa"/>
            <w:vMerge w:val="restart"/>
            <w:tcBorders>
              <w:tl2br w:val="nil"/>
              <w:tr2bl w:val="nil"/>
            </w:tcBorders>
            <w:vAlign w:val="center"/>
          </w:tcPr>
          <w:p>
            <w:pPr>
              <w:pStyle w:val="32"/>
              <w:spacing w:line="360" w:lineRule="exact"/>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业绩</w:t>
            </w:r>
          </w:p>
        </w:tc>
        <w:tc>
          <w:tcPr>
            <w:tcW w:w="720" w:type="dxa"/>
            <w:vMerge w:val="restart"/>
            <w:tcBorders>
              <w:tl2br w:val="nil"/>
              <w:tr2bl w:val="nil"/>
            </w:tcBorders>
            <w:vAlign w:val="center"/>
          </w:tcPr>
          <w:p>
            <w:pPr>
              <w:pStyle w:val="32"/>
              <w:spacing w:line="360" w:lineRule="exact"/>
              <w:ind w:right="88"/>
              <w:jc w:val="center"/>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15分</w:t>
            </w:r>
          </w:p>
        </w:tc>
        <w:tc>
          <w:tcPr>
            <w:tcW w:w="7177" w:type="dxa"/>
            <w:gridSpan w:val="3"/>
            <w:tcBorders>
              <w:tl2br w:val="nil"/>
              <w:tr2bl w:val="nil"/>
            </w:tcBorders>
            <w:shd w:val="clear" w:color="auto" w:fill="auto"/>
            <w:vAlign w:val="center"/>
          </w:tcPr>
          <w:p>
            <w:pPr>
              <w:pStyle w:val="32"/>
              <w:spacing w:line="360" w:lineRule="exact"/>
              <w:ind w:left="140"/>
              <w:rPr>
                <w:rFonts w:ascii="宋体" w:hAnsi="宋体" w:eastAsia="宋体" w:cs="宋体"/>
                <w:sz w:val="21"/>
                <w:szCs w:val="21"/>
                <w:highlight w:val="none"/>
                <w:lang w:eastAsia="zh-CN"/>
              </w:rPr>
            </w:pPr>
            <w:r>
              <w:rPr>
                <w:rFonts w:hint="eastAsia" w:ascii="宋体" w:hAnsi="宋体" w:eastAsia="宋体" w:cs="宋体"/>
                <w:b/>
                <w:sz w:val="21"/>
                <w:szCs w:val="21"/>
                <w:highlight w:val="none"/>
                <w:lang w:eastAsia="zh-CN"/>
              </w:rPr>
              <w:t>MTFJZJ标段：</w:t>
            </w:r>
            <w:r>
              <w:rPr>
                <w:rFonts w:hint="eastAsia" w:ascii="宋体" w:hAnsi="宋体" w:eastAsia="宋体" w:cs="宋体"/>
                <w:sz w:val="21"/>
                <w:szCs w:val="21"/>
                <w:highlight w:val="none"/>
                <w:lang w:eastAsia="zh-CN"/>
              </w:rPr>
              <w:t>满足资格审查基本要求得10.0分，2018年1月至今每增加1个类似项目（</w:t>
            </w:r>
            <w:r>
              <w:rPr>
                <w:rFonts w:hint="eastAsia" w:ascii="宋体" w:hAnsi="宋体" w:eastAsia="宋体" w:cs="宋体"/>
                <w:kern w:val="2"/>
                <w:sz w:val="21"/>
                <w:szCs w:val="21"/>
                <w:highlight w:val="none"/>
                <w:lang w:eastAsia="zh-CN"/>
              </w:rPr>
              <w:t>建筑工程施工监理或高速公路配套的房建工程施工监理</w:t>
            </w:r>
            <w:r>
              <w:rPr>
                <w:rFonts w:hint="eastAsia" w:ascii="宋体" w:hAnsi="宋体" w:eastAsia="宋体" w:cs="宋体"/>
                <w:sz w:val="21"/>
                <w:szCs w:val="21"/>
                <w:highlight w:val="none"/>
                <w:lang w:eastAsia="zh-CN"/>
              </w:rPr>
              <w:t>）业绩加5.0分，本项最高得15.0分。</w:t>
            </w:r>
          </w:p>
          <w:p>
            <w:pPr>
              <w:pStyle w:val="32"/>
              <w:spacing w:line="360" w:lineRule="exact"/>
              <w:ind w:left="140"/>
              <w:rPr>
                <w:rFonts w:ascii="宋体" w:hAnsi="宋体" w:eastAsia="宋体" w:cs="宋体"/>
                <w:b/>
                <w:sz w:val="21"/>
                <w:szCs w:val="21"/>
                <w:highlight w:val="none"/>
                <w:lang w:eastAsia="zh-CN"/>
              </w:rPr>
            </w:pPr>
            <w:r>
              <w:rPr>
                <w:rFonts w:hint="eastAsia" w:ascii="宋体" w:hAnsi="宋体" w:eastAsia="宋体" w:cs="宋体"/>
                <w:b/>
                <w:sz w:val="21"/>
                <w:szCs w:val="21"/>
                <w:highlight w:val="none"/>
                <w:lang w:eastAsia="zh-CN"/>
              </w:rPr>
              <w:t>以交工验收时间计算。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jc w:val="center"/>
        </w:trPr>
        <w:tc>
          <w:tcPr>
            <w:tcW w:w="939" w:type="dxa"/>
            <w:vMerge w:val="continue"/>
            <w:tcBorders>
              <w:tl2br w:val="nil"/>
              <w:tr2bl w:val="nil"/>
            </w:tcBorders>
            <w:vAlign w:val="center"/>
          </w:tcPr>
          <w:p>
            <w:pPr>
              <w:pStyle w:val="32"/>
              <w:spacing w:line="360" w:lineRule="exact"/>
              <w:jc w:val="center"/>
              <w:rPr>
                <w:rFonts w:ascii="宋体" w:hAnsi="宋体" w:eastAsia="宋体" w:cs="宋体"/>
                <w:color w:val="23232A"/>
                <w:sz w:val="21"/>
                <w:szCs w:val="21"/>
                <w:highlight w:val="none"/>
                <w:lang w:eastAsia="zh-CN"/>
              </w:rPr>
            </w:pPr>
          </w:p>
        </w:tc>
        <w:tc>
          <w:tcPr>
            <w:tcW w:w="366" w:type="dxa"/>
            <w:vMerge w:val="continue"/>
            <w:tcBorders>
              <w:tl2br w:val="nil"/>
              <w:tr2bl w:val="nil"/>
            </w:tcBorders>
            <w:vAlign w:val="center"/>
          </w:tcPr>
          <w:p>
            <w:pPr>
              <w:pStyle w:val="32"/>
              <w:spacing w:line="360" w:lineRule="exact"/>
              <w:jc w:val="center"/>
              <w:rPr>
                <w:rFonts w:ascii="宋体" w:hAnsi="宋体" w:eastAsia="宋体" w:cs="宋体"/>
                <w:color w:val="000000" w:themeColor="text1"/>
                <w:sz w:val="21"/>
                <w:szCs w:val="21"/>
                <w:highlight w:val="none"/>
                <w:lang w:eastAsia="zh-CN"/>
                <w14:textFill>
                  <w14:solidFill>
                    <w14:schemeClr w14:val="tx1"/>
                  </w14:solidFill>
                </w14:textFill>
              </w:rPr>
            </w:pPr>
          </w:p>
        </w:tc>
        <w:tc>
          <w:tcPr>
            <w:tcW w:w="668" w:type="dxa"/>
            <w:vMerge w:val="continue"/>
            <w:tcBorders>
              <w:tl2br w:val="nil"/>
              <w:tr2bl w:val="nil"/>
            </w:tcBorders>
            <w:vAlign w:val="center"/>
          </w:tcPr>
          <w:p>
            <w:pPr>
              <w:pStyle w:val="32"/>
              <w:spacing w:line="360" w:lineRule="exact"/>
              <w:jc w:val="center"/>
              <w:rPr>
                <w:rFonts w:ascii="宋体" w:hAnsi="宋体" w:eastAsia="宋体" w:cs="宋体"/>
                <w:color w:val="000000" w:themeColor="text1"/>
                <w:sz w:val="21"/>
                <w:szCs w:val="21"/>
                <w:highlight w:val="none"/>
                <w:lang w:eastAsia="zh-CN"/>
                <w14:textFill>
                  <w14:solidFill>
                    <w14:schemeClr w14:val="tx1"/>
                  </w14:solidFill>
                </w14:textFill>
              </w:rPr>
            </w:pPr>
          </w:p>
        </w:tc>
        <w:tc>
          <w:tcPr>
            <w:tcW w:w="720" w:type="dxa"/>
            <w:vMerge w:val="continue"/>
            <w:tcBorders>
              <w:tl2br w:val="nil"/>
              <w:tr2bl w:val="nil"/>
            </w:tcBorders>
            <w:vAlign w:val="center"/>
          </w:tcPr>
          <w:p>
            <w:pPr>
              <w:pStyle w:val="32"/>
              <w:spacing w:line="360" w:lineRule="exact"/>
              <w:ind w:right="88"/>
              <w:jc w:val="center"/>
              <w:rPr>
                <w:rFonts w:ascii="宋体" w:hAnsi="宋体" w:eastAsia="宋体" w:cs="宋体"/>
                <w:color w:val="000000" w:themeColor="text1"/>
                <w:sz w:val="21"/>
                <w:szCs w:val="21"/>
                <w:highlight w:val="none"/>
                <w:lang w:eastAsia="zh-CN"/>
                <w14:textFill>
                  <w14:solidFill>
                    <w14:schemeClr w14:val="tx1"/>
                  </w14:solidFill>
                </w14:textFill>
              </w:rPr>
            </w:pPr>
          </w:p>
        </w:tc>
        <w:tc>
          <w:tcPr>
            <w:tcW w:w="7177" w:type="dxa"/>
            <w:gridSpan w:val="3"/>
            <w:tcBorders>
              <w:tl2br w:val="nil"/>
              <w:tr2bl w:val="nil"/>
            </w:tcBorders>
            <w:shd w:val="clear" w:color="auto" w:fill="auto"/>
            <w:vAlign w:val="center"/>
          </w:tcPr>
          <w:p>
            <w:pPr>
              <w:pStyle w:val="32"/>
              <w:spacing w:line="360" w:lineRule="exact"/>
              <w:ind w:left="140"/>
              <w:rPr>
                <w:rFonts w:ascii="宋体" w:hAnsi="宋体" w:eastAsia="宋体" w:cs="宋体"/>
                <w:sz w:val="21"/>
                <w:szCs w:val="21"/>
                <w:highlight w:val="none"/>
                <w:lang w:eastAsia="zh-CN"/>
              </w:rPr>
            </w:pPr>
            <w:r>
              <w:rPr>
                <w:rFonts w:hint="eastAsia" w:ascii="宋体" w:hAnsi="宋体" w:eastAsia="宋体" w:cs="宋体"/>
                <w:b/>
                <w:sz w:val="21"/>
                <w:szCs w:val="21"/>
                <w:highlight w:val="none"/>
                <w:lang w:eastAsia="zh-CN"/>
              </w:rPr>
              <w:t>MTJDZJ标段：</w:t>
            </w:r>
            <w:r>
              <w:rPr>
                <w:rFonts w:hint="eastAsia" w:ascii="宋体" w:hAnsi="宋体" w:eastAsia="宋体" w:cs="宋体"/>
                <w:sz w:val="21"/>
                <w:szCs w:val="21"/>
                <w:highlight w:val="none"/>
                <w:lang w:eastAsia="zh-CN"/>
              </w:rPr>
              <w:t>满足资格审查基本要求得10.0分，2018年1月至今每增加1个类似项目（</w:t>
            </w:r>
            <w:r>
              <w:rPr>
                <w:rFonts w:hint="eastAsia" w:ascii="宋体" w:hAnsi="宋体" w:eastAsia="宋体" w:cs="宋体"/>
                <w:kern w:val="2"/>
                <w:sz w:val="21"/>
                <w:szCs w:val="21"/>
                <w:highlight w:val="none"/>
                <w:lang w:eastAsia="zh-CN"/>
              </w:rPr>
              <w:t>高速公路机电工程施工监理</w:t>
            </w:r>
            <w:r>
              <w:rPr>
                <w:rFonts w:hint="eastAsia" w:ascii="宋体" w:hAnsi="宋体" w:eastAsia="宋体" w:cs="宋体"/>
                <w:sz w:val="21"/>
                <w:szCs w:val="21"/>
                <w:highlight w:val="none"/>
                <w:lang w:eastAsia="zh-CN"/>
              </w:rPr>
              <w:t>）业绩加5.0分，本项最高得15.0分。</w:t>
            </w:r>
          </w:p>
          <w:p>
            <w:pPr>
              <w:pStyle w:val="32"/>
              <w:spacing w:line="360" w:lineRule="exact"/>
              <w:ind w:left="140"/>
              <w:rPr>
                <w:rFonts w:ascii="宋体" w:hAnsi="宋体" w:eastAsia="宋体" w:cs="宋体"/>
                <w:sz w:val="21"/>
                <w:szCs w:val="21"/>
                <w:highlight w:val="none"/>
                <w:lang w:eastAsia="zh-CN"/>
              </w:rPr>
            </w:pPr>
            <w:r>
              <w:rPr>
                <w:rFonts w:hint="eastAsia" w:ascii="宋体" w:hAnsi="宋体" w:eastAsia="宋体" w:cs="宋体"/>
                <w:b/>
                <w:sz w:val="21"/>
                <w:szCs w:val="21"/>
                <w:highlight w:val="none"/>
                <w:lang w:eastAsia="zh-CN"/>
              </w:rPr>
              <w:t>以交工验收时间计算。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jc w:val="center"/>
        </w:trPr>
        <w:tc>
          <w:tcPr>
            <w:tcW w:w="939" w:type="dxa"/>
            <w:vMerge w:val="continue"/>
            <w:tcBorders>
              <w:tl2br w:val="nil"/>
              <w:tr2bl w:val="nil"/>
            </w:tcBorders>
            <w:vAlign w:val="center"/>
          </w:tcPr>
          <w:p>
            <w:pPr>
              <w:spacing w:line="360" w:lineRule="exact"/>
              <w:jc w:val="center"/>
              <w:rPr>
                <w:rFonts w:ascii="宋体" w:hAnsi="宋体" w:eastAsia="宋体" w:cs="宋体"/>
                <w:sz w:val="21"/>
                <w:szCs w:val="21"/>
                <w:highlight w:val="none"/>
                <w:lang w:eastAsia="zh-CN"/>
              </w:rPr>
            </w:pPr>
          </w:p>
        </w:tc>
        <w:tc>
          <w:tcPr>
            <w:tcW w:w="366" w:type="dxa"/>
            <w:vMerge w:val="continue"/>
            <w:tcBorders>
              <w:tl2br w:val="nil"/>
              <w:tr2bl w:val="nil"/>
            </w:tcBorders>
            <w:vAlign w:val="center"/>
          </w:tcPr>
          <w:p>
            <w:pPr>
              <w:pStyle w:val="32"/>
              <w:spacing w:line="360" w:lineRule="exact"/>
              <w:jc w:val="center"/>
              <w:rPr>
                <w:rFonts w:ascii="宋体" w:hAnsi="宋体" w:eastAsia="宋体" w:cs="宋体"/>
                <w:sz w:val="21"/>
                <w:szCs w:val="21"/>
                <w:highlight w:val="none"/>
              </w:rPr>
            </w:pPr>
          </w:p>
        </w:tc>
        <w:tc>
          <w:tcPr>
            <w:tcW w:w="668" w:type="dxa"/>
            <w:tcBorders>
              <w:tl2br w:val="nil"/>
              <w:tr2bl w:val="nil"/>
            </w:tcBorders>
            <w:vAlign w:val="center"/>
          </w:tcPr>
          <w:p>
            <w:pPr>
              <w:pStyle w:val="32"/>
              <w:spacing w:line="360" w:lineRule="exact"/>
              <w:jc w:val="center"/>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履约</w:t>
            </w:r>
          </w:p>
          <w:p>
            <w:pPr>
              <w:pStyle w:val="32"/>
              <w:spacing w:line="360" w:lineRule="exact"/>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信誉</w:t>
            </w:r>
          </w:p>
        </w:tc>
        <w:tc>
          <w:tcPr>
            <w:tcW w:w="720" w:type="dxa"/>
            <w:tcBorders>
              <w:tl2br w:val="nil"/>
              <w:tr2bl w:val="nil"/>
            </w:tcBorders>
            <w:vAlign w:val="center"/>
          </w:tcPr>
          <w:p>
            <w:pPr>
              <w:pStyle w:val="32"/>
              <w:spacing w:line="360" w:lineRule="exact"/>
              <w:ind w:right="88"/>
              <w:jc w:val="center"/>
              <w:rPr>
                <w:rFonts w:ascii="宋体" w:hAnsi="宋体" w:eastAsia="宋体" w:cs="宋体"/>
                <w:sz w:val="21"/>
                <w:szCs w:val="21"/>
                <w:highlight w:val="none"/>
              </w:rPr>
            </w:pPr>
            <w:r>
              <w:rPr>
                <w:rFonts w:hint="eastAsia" w:ascii="宋体" w:hAnsi="宋体" w:eastAsia="宋体" w:cs="宋体"/>
                <w:sz w:val="21"/>
                <w:szCs w:val="21"/>
                <w:highlight w:val="none"/>
                <w:lang w:eastAsia="zh-CN"/>
              </w:rPr>
              <w:t>5分</w:t>
            </w:r>
          </w:p>
        </w:tc>
        <w:tc>
          <w:tcPr>
            <w:tcW w:w="7177" w:type="dxa"/>
            <w:gridSpan w:val="3"/>
            <w:tcBorders>
              <w:tl2br w:val="nil"/>
              <w:tr2bl w:val="nil"/>
            </w:tcBorders>
            <w:shd w:val="clear" w:color="auto" w:fill="auto"/>
            <w:vAlign w:val="center"/>
          </w:tcPr>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投标人在陕西省2020年度、2021年度、2022年度连续三年监理单位信用评价中为AA级得5分；2022年度陕西省监理单位信用评价中为AA级得4.5分；2022年度陕西省监理单位信用评价中为A级得4分；2022年度陕西省监理单位信用评价中为B级得3.5分；2022年度陕西省监理单位信用评价中为C级得3分。</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说明：</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根据陕西省交通运输厅《关于陕西省2022年度高速公路设计施工及公路监理从业企业信用评价结果应用的通知》（陕交函〔2023〕225号）文件规定的信用评价结果应用原则，以“陕西省2022年度公路监理企业信用评价结果一览表” 中所公布的监理单位的信用评价等级为准。</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2、信用评价结果应用原则：</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省厅高速公路设计、施工企业信用评价结果应用于陕西省高速公路建设市场，监理企业信用评价结果应用于陕西省公路建设市场，对具有省厅2021年度信用评价等级而无2022年度信用评价等级的企业，其2021年度信用评价等级延续1年。</w:t>
            </w:r>
          </w:p>
          <w:p>
            <w:pPr>
              <w:pStyle w:val="32"/>
              <w:spacing w:line="360" w:lineRule="exact"/>
              <w:ind w:left="110" w:leftChars="5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初次进入陕西省的从业企业，按照全国综合信用评价等级确定。延续省厅上一年信用评价结果后仍无信用评价结果的，按照全国综合评价结果对待，但不得高于省厅原评价等级的上一级。无全国综合评价结果的企业，且无不良信用行为，可按A级对待。</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mbria">
    <w:panose1 w:val="02040503050406030204"/>
    <w:charset w:val="00"/>
    <w:family w:val="roman"/>
    <w:pitch w:val="default"/>
    <w:sig w:usb0="A00002EF" w:usb1="4000004B" w:usb2="00000000" w:usb3="00000000" w:csb0="2000009F" w:csb1="00000000"/>
  </w:font>
  <w:font w:name="华文宋体">
    <w:altName w:val="宋体"/>
    <w:panose1 w:val="02010600040101010101"/>
    <w:charset w:val="86"/>
    <w:family w:val="auto"/>
    <w:pitch w:val="default"/>
    <w:sig w:usb0="00000000" w:usb1="00000000" w:usb2="00000010" w:usb3="00000000" w:csb0="000400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856F"/>
    <w:multiLevelType w:val="singleLevel"/>
    <w:tmpl w:val="80D6856F"/>
    <w:lvl w:ilvl="0" w:tentative="0">
      <w:start w:val="13"/>
      <w:numFmt w:val="decimal"/>
      <w:suff w:val="nothing"/>
      <w:lvlText w:val="（%1）"/>
      <w:lvlJc w:val="left"/>
    </w:lvl>
  </w:abstractNum>
  <w:abstractNum w:abstractNumId="1">
    <w:nsid w:val="F28C892D"/>
    <w:multiLevelType w:val="singleLevel"/>
    <w:tmpl w:val="F28C892D"/>
    <w:lvl w:ilvl="0" w:tentative="0">
      <w:start w:val="7"/>
      <w:numFmt w:val="decimal"/>
      <w:suff w:val="space"/>
      <w:lvlText w:val="%1."/>
      <w:lvlJc w:val="left"/>
    </w:lvl>
  </w:abstractNum>
  <w:abstractNum w:abstractNumId="2">
    <w:nsid w:val="43E5A54E"/>
    <w:multiLevelType w:val="singleLevel"/>
    <w:tmpl w:val="43E5A54E"/>
    <w:lvl w:ilvl="0" w:tentative="0">
      <w:start w:val="1"/>
      <w:numFmt w:val="decimal"/>
      <w:suff w:val="nothing"/>
      <w:lvlText w:val="（%1）"/>
      <w:lvlJc w:val="left"/>
    </w:lvl>
  </w:abstractNum>
  <w:abstractNum w:abstractNumId="3">
    <w:nsid w:val="5D4568FF"/>
    <w:multiLevelType w:val="multilevel"/>
    <w:tmpl w:val="5D4568FF"/>
    <w:lvl w:ilvl="0" w:tentative="0">
      <w:start w:val="1"/>
      <w:numFmt w:val="decimal"/>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720"/>
        </w:tabs>
        <w:ind w:left="720" w:hanging="720"/>
      </w:pPr>
    </w:lvl>
    <w:lvl w:ilvl="3" w:tentative="0">
      <w:start w:val="1"/>
      <w:numFmt w:val="decimal"/>
      <w:pStyle w:val="6"/>
      <w:lvlText w:val="5.2.%4"/>
      <w:lvlJc w:val="left"/>
      <w:pPr>
        <w:tabs>
          <w:tab w:val="left" w:pos="1080"/>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lYmYyOTcxYWM1ZmE2MTM5YTNiMmI2YWI0ZTg1YjAifQ=="/>
  </w:docVars>
  <w:rsids>
    <w:rsidRoot w:val="72600A11"/>
    <w:rsid w:val="001D7D62"/>
    <w:rsid w:val="00B54205"/>
    <w:rsid w:val="03FF1E92"/>
    <w:rsid w:val="062A4F87"/>
    <w:rsid w:val="06FE559A"/>
    <w:rsid w:val="093A3733"/>
    <w:rsid w:val="0A0531B9"/>
    <w:rsid w:val="0AC85586"/>
    <w:rsid w:val="14CD7B51"/>
    <w:rsid w:val="16611CB1"/>
    <w:rsid w:val="16D50F3F"/>
    <w:rsid w:val="17702778"/>
    <w:rsid w:val="1A4A0DFF"/>
    <w:rsid w:val="26192BF6"/>
    <w:rsid w:val="2657371E"/>
    <w:rsid w:val="26E3291A"/>
    <w:rsid w:val="29AC3D81"/>
    <w:rsid w:val="2EFE5B83"/>
    <w:rsid w:val="328A6C2A"/>
    <w:rsid w:val="371B60A2"/>
    <w:rsid w:val="38C70290"/>
    <w:rsid w:val="3952492A"/>
    <w:rsid w:val="3A1F715C"/>
    <w:rsid w:val="3E6E3C52"/>
    <w:rsid w:val="3E7209AE"/>
    <w:rsid w:val="45473688"/>
    <w:rsid w:val="4C5F1C14"/>
    <w:rsid w:val="65BD4645"/>
    <w:rsid w:val="6740355E"/>
    <w:rsid w:val="72600A11"/>
    <w:rsid w:val="75D018DB"/>
    <w:rsid w:val="78493DB4"/>
    <w:rsid w:val="78591FAB"/>
    <w:rsid w:val="78C35DB9"/>
    <w:rsid w:val="79B80F53"/>
    <w:rsid w:val="7F335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Theme="minorHAnsi" w:hAnsiTheme="minorHAnsi" w:eastAsiaTheme="minorEastAsia" w:cstheme="minorBidi"/>
      <w:sz w:val="22"/>
      <w:szCs w:val="22"/>
      <w:lang w:val="en-US" w:eastAsia="en-US" w:bidi="ar-SA"/>
    </w:rPr>
  </w:style>
  <w:style w:type="paragraph" w:styleId="3">
    <w:name w:val="heading 1"/>
    <w:basedOn w:val="1"/>
    <w:next w:val="1"/>
    <w:link w:val="28"/>
    <w:qFormat/>
    <w:uiPriority w:val="0"/>
    <w:pPr>
      <w:keepNext/>
      <w:keepLines/>
      <w:spacing w:line="360" w:lineRule="auto"/>
      <w:outlineLvl w:val="0"/>
    </w:pPr>
    <w:rPr>
      <w:rFonts w:ascii="Times New Roman" w:hAnsi="Times New Roman" w:eastAsia="宋体"/>
      <w:b/>
      <w:bCs/>
      <w:kern w:val="44"/>
      <w:sz w:val="32"/>
      <w:szCs w:val="44"/>
    </w:rPr>
  </w:style>
  <w:style w:type="paragraph" w:styleId="4">
    <w:name w:val="heading 2"/>
    <w:basedOn w:val="1"/>
    <w:next w:val="1"/>
    <w:semiHidden/>
    <w:unhideWhenUsed/>
    <w:qFormat/>
    <w:uiPriority w:val="0"/>
    <w:pPr>
      <w:keepNext/>
      <w:keepLines/>
      <w:spacing w:before="20" w:after="20" w:line="360" w:lineRule="auto"/>
      <w:outlineLvl w:val="1"/>
    </w:pPr>
    <w:rPr>
      <w:rFonts w:ascii="Cambria" w:hAnsi="Cambria" w:eastAsia="宋体" w:cs="Times New Roman"/>
      <w:b/>
      <w:bCs/>
      <w:sz w:val="32"/>
      <w:szCs w:val="32"/>
    </w:rPr>
  </w:style>
  <w:style w:type="paragraph" w:styleId="5">
    <w:name w:val="heading 3"/>
    <w:basedOn w:val="1"/>
    <w:next w:val="1"/>
    <w:link w:val="27"/>
    <w:semiHidden/>
    <w:unhideWhenUsed/>
    <w:qFormat/>
    <w:uiPriority w:val="0"/>
    <w:pPr>
      <w:keepNext/>
      <w:keepLines/>
      <w:spacing w:before="20" w:after="20" w:line="360" w:lineRule="auto"/>
      <w:outlineLvl w:val="2"/>
    </w:pPr>
    <w:rPr>
      <w:rFonts w:ascii="Times New Roman" w:hAnsi="Times New Roman" w:eastAsia="宋体" w:cs="Times New Roman"/>
      <w:b/>
      <w:bCs/>
      <w:sz w:val="32"/>
      <w:szCs w:val="32"/>
    </w:rPr>
  </w:style>
  <w:style w:type="paragraph" w:styleId="6">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7">
    <w:name w:val="heading 5"/>
    <w:basedOn w:val="1"/>
    <w:next w:val="1"/>
    <w:link w:val="25"/>
    <w:semiHidden/>
    <w:unhideWhenUsed/>
    <w:qFormat/>
    <w:uiPriority w:val="0"/>
    <w:pPr>
      <w:widowControl/>
      <w:numPr>
        <w:ilvl w:val="4"/>
        <w:numId w:val="1"/>
      </w:numPr>
      <w:spacing w:before="20" w:after="20"/>
      <w:ind w:left="1008" w:hanging="1008"/>
      <w:jc w:val="left"/>
      <w:outlineLvl w:val="4"/>
    </w:pPr>
    <w:rPr>
      <w:rFonts w:ascii="华文宋体" w:hAnsi="华文宋体" w:eastAsia="华文宋体" w:cs="宋体"/>
      <w:b/>
      <w:i/>
      <w:kern w:val="0"/>
      <w:sz w:val="26"/>
      <w:szCs w:val="20"/>
    </w:rPr>
  </w:style>
  <w:style w:type="paragraph" w:styleId="8">
    <w:name w:val="heading 6"/>
    <w:basedOn w:val="1"/>
    <w:next w:val="1"/>
    <w:link w:val="26"/>
    <w:semiHidden/>
    <w:unhideWhenUsed/>
    <w:qFormat/>
    <w:uiPriority w:val="0"/>
    <w:pPr>
      <w:widowControl/>
      <w:numPr>
        <w:ilvl w:val="5"/>
        <w:numId w:val="1"/>
      </w:numPr>
      <w:spacing w:before="20" w:after="20" w:line="360" w:lineRule="auto"/>
      <w:ind w:left="1152" w:hanging="1152"/>
      <w:jc w:val="left"/>
      <w:outlineLvl w:val="5"/>
    </w:pPr>
    <w:rPr>
      <w:rFonts w:ascii="华文宋体" w:hAnsi="华文宋体" w:eastAsia="宋体" w:cs="宋体"/>
      <w:b/>
      <w:kern w:val="0"/>
      <w:sz w:val="24"/>
      <w:szCs w:val="20"/>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cs="Arial"/>
    </w:rPr>
  </w:style>
  <w:style w:type="paragraph" w:styleId="12">
    <w:name w:val="Normal (Web)"/>
    <w:basedOn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5">
    <w:name w:val="FollowedHyperlink"/>
    <w:basedOn w:val="14"/>
    <w:qFormat/>
    <w:uiPriority w:val="0"/>
    <w:rPr>
      <w:color w:val="800080"/>
      <w:u w:val="none"/>
    </w:rPr>
  </w:style>
  <w:style w:type="character" w:styleId="16">
    <w:name w:val="HTML Definition"/>
    <w:basedOn w:val="14"/>
    <w:qFormat/>
    <w:uiPriority w:val="0"/>
  </w:style>
  <w:style w:type="character" w:styleId="17">
    <w:name w:val="HTML Typewriter"/>
    <w:basedOn w:val="14"/>
    <w:qFormat/>
    <w:uiPriority w:val="0"/>
    <w:rPr>
      <w:rFonts w:hint="default" w:ascii="monospace" w:hAnsi="monospace" w:eastAsia="monospace" w:cs="monospace"/>
      <w:sz w:val="20"/>
    </w:rPr>
  </w:style>
  <w:style w:type="character" w:styleId="18">
    <w:name w:val="HTML Acronym"/>
    <w:basedOn w:val="14"/>
    <w:qFormat/>
    <w:uiPriority w:val="0"/>
  </w:style>
  <w:style w:type="character" w:styleId="19">
    <w:name w:val="HTML Variable"/>
    <w:basedOn w:val="14"/>
    <w:qFormat/>
    <w:uiPriority w:val="0"/>
  </w:style>
  <w:style w:type="character" w:styleId="20">
    <w:name w:val="Hyperlink"/>
    <w:basedOn w:val="14"/>
    <w:qFormat/>
    <w:uiPriority w:val="0"/>
    <w:rPr>
      <w:color w:val="0000FF"/>
      <w:u w:val="none"/>
    </w:rPr>
  </w:style>
  <w:style w:type="character" w:styleId="21">
    <w:name w:val="HTML Code"/>
    <w:basedOn w:val="14"/>
    <w:qFormat/>
    <w:uiPriority w:val="0"/>
    <w:rPr>
      <w:rFonts w:hint="default" w:ascii="monospace" w:hAnsi="monospace" w:eastAsia="monospace" w:cs="monospace"/>
      <w:sz w:val="20"/>
    </w:rPr>
  </w:style>
  <w:style w:type="character" w:styleId="22">
    <w:name w:val="HTML Cite"/>
    <w:basedOn w:val="14"/>
    <w:qFormat/>
    <w:uiPriority w:val="0"/>
  </w:style>
  <w:style w:type="character" w:styleId="23">
    <w:name w:val="HTML Keyboard"/>
    <w:basedOn w:val="14"/>
    <w:qFormat/>
    <w:uiPriority w:val="0"/>
    <w:rPr>
      <w:rFonts w:hint="default" w:ascii="monospace" w:hAnsi="monospace" w:eastAsia="monospace" w:cs="monospace"/>
      <w:sz w:val="20"/>
    </w:rPr>
  </w:style>
  <w:style w:type="character" w:styleId="24">
    <w:name w:val="HTML Sample"/>
    <w:basedOn w:val="14"/>
    <w:qFormat/>
    <w:uiPriority w:val="0"/>
    <w:rPr>
      <w:rFonts w:ascii="monospace" w:hAnsi="monospace" w:eastAsia="monospace" w:cs="monospace"/>
    </w:rPr>
  </w:style>
  <w:style w:type="character" w:customStyle="1" w:styleId="25">
    <w:name w:val="标题 5 Char"/>
    <w:link w:val="7"/>
    <w:semiHidden/>
    <w:qFormat/>
    <w:locked/>
    <w:uiPriority w:val="0"/>
    <w:rPr>
      <w:rFonts w:ascii="华文宋体" w:hAnsi="华文宋体" w:eastAsia="华文宋体" w:cs="宋体"/>
      <w:b/>
      <w:i/>
      <w:sz w:val="26"/>
      <w:lang w:val="en-US" w:eastAsia="zh-CN" w:bidi="ar-SA"/>
    </w:rPr>
  </w:style>
  <w:style w:type="character" w:customStyle="1" w:styleId="26">
    <w:name w:val="标题 6 Char"/>
    <w:link w:val="8"/>
    <w:semiHidden/>
    <w:qFormat/>
    <w:locked/>
    <w:uiPriority w:val="0"/>
    <w:rPr>
      <w:rFonts w:ascii="华文宋体" w:hAnsi="华文宋体" w:eastAsia="宋体" w:cs="宋体"/>
      <w:b/>
      <w:sz w:val="24"/>
      <w:lang w:val="en-US" w:eastAsia="zh-CN" w:bidi="ar-SA"/>
    </w:rPr>
  </w:style>
  <w:style w:type="character" w:customStyle="1" w:styleId="27">
    <w:name w:val="标题 3 Char"/>
    <w:link w:val="5"/>
    <w:qFormat/>
    <w:locked/>
    <w:uiPriority w:val="0"/>
    <w:rPr>
      <w:rFonts w:ascii="Times New Roman" w:hAnsi="Times New Roman" w:eastAsia="宋体" w:cs="Times New Roman"/>
      <w:b/>
      <w:bCs/>
      <w:sz w:val="32"/>
      <w:szCs w:val="32"/>
    </w:rPr>
  </w:style>
  <w:style w:type="character" w:customStyle="1" w:styleId="28">
    <w:name w:val="标题 1 Char"/>
    <w:link w:val="3"/>
    <w:qFormat/>
    <w:uiPriority w:val="0"/>
    <w:rPr>
      <w:rFonts w:ascii="Times New Roman" w:hAnsi="Times New Roman" w:eastAsia="宋体"/>
      <w:b/>
      <w:bCs/>
      <w:kern w:val="44"/>
      <w:sz w:val="32"/>
      <w:szCs w:val="44"/>
    </w:rPr>
  </w:style>
  <w:style w:type="paragraph" w:customStyle="1" w:styleId="29">
    <w:name w:val="Char"/>
    <w:basedOn w:val="1"/>
    <w:qFormat/>
    <w:uiPriority w:val="0"/>
    <w:rPr>
      <w:rFonts w:hAnsi="Times New Roman"/>
      <w:b/>
      <w:szCs w:val="32"/>
    </w:rPr>
  </w:style>
  <w:style w:type="character" w:customStyle="1" w:styleId="30">
    <w:name w:val="first-child"/>
    <w:basedOn w:val="14"/>
    <w:qFormat/>
    <w:uiPriority w:val="0"/>
  </w:style>
  <w:style w:type="character" w:customStyle="1" w:styleId="31">
    <w:name w:val="layui-layer-tabnow"/>
    <w:basedOn w:val="14"/>
    <w:qFormat/>
    <w:uiPriority w:val="0"/>
    <w:rPr>
      <w:bdr w:val="single" w:color="CCCCCC" w:sz="6" w:space="0"/>
      <w:shd w:val="clear" w:fill="FFFFFF"/>
    </w:rPr>
  </w:style>
  <w:style w:type="paragraph" w:customStyle="1" w:styleId="32">
    <w:name w:val="Table Paragraph"/>
    <w:basedOn w:val="1"/>
    <w:qFormat/>
    <w:uiPriority w:val="1"/>
  </w:style>
  <w:style w:type="table" w:customStyle="1" w:styleId="33">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6904</Words>
  <Characters>7678</Characters>
  <Lines>0</Lines>
  <Paragraphs>0</Paragraphs>
  <TotalTime>0</TotalTime>
  <ScaleCrop>false</ScaleCrop>
  <LinksUpToDate>false</LinksUpToDate>
  <CharactersWithSpaces>7758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2023-09-08T03:20:00Z</dcterms:created>
  <dc:creator>zc</dc:creator>
  <cp:lastModifiedBy>zc</cp:lastModifiedBy>
  <dcterms:modified xsi:type="dcterms:W3CDTF">2023-09-08T13:20:53Z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1A4CE6102C2E4DE49AD11C74997C4BD1</vt:lpwstr>
  </property>
</Properties>
</file>